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B0" w:rsidRPr="00A83DB0" w:rsidRDefault="003E04C7" w:rsidP="00A83D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Ultimo aggiornamento 27/12</w:t>
      </w:r>
      <w:r w:rsidR="0092064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A83DB0" w:rsidRPr="00A83DB0" w:rsidRDefault="00A83DB0" w:rsidP="00A83DB0">
      <w:pPr>
        <w:pStyle w:val="Puntoelenco"/>
        <w:numPr>
          <w:ilvl w:val="0"/>
          <w:numId w:val="0"/>
        </w:numPr>
        <w:ind w:left="360"/>
      </w:pPr>
    </w:p>
    <w:p w:rsidR="00C52B07" w:rsidRDefault="00C52B07" w:rsidP="00C52B07">
      <w:pPr>
        <w:pStyle w:val="Puntoelenco"/>
      </w:pPr>
      <w:r>
        <w:rPr>
          <w:i/>
        </w:rPr>
        <w:t xml:space="preserve">Un quadro di riferimento: </w:t>
      </w:r>
      <w:proofErr w:type="spellStart"/>
      <w:r>
        <w:rPr>
          <w:i/>
        </w:rPr>
        <w:t>Chiaramonte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Gulfi</w:t>
      </w:r>
      <w:proofErr w:type="spellEnd"/>
      <w:r>
        <w:rPr>
          <w:i/>
        </w:rPr>
        <w:t xml:space="preserve"> nel secolo XIX. Strutture economiche e sociali</w:t>
      </w:r>
      <w:r>
        <w:t>, in “Quaderni di Storia delle Comunità e dei Territori”, n. 3, settembre-dicembre 2002, pp. 17-31.</w:t>
      </w:r>
    </w:p>
    <w:p w:rsidR="00C52B07" w:rsidRDefault="00C52B07" w:rsidP="00C52B07">
      <w:pPr>
        <w:pStyle w:val="Puntoelenco"/>
      </w:pPr>
      <w:r>
        <w:rPr>
          <w:i/>
        </w:rPr>
        <w:t>Università: un problema storiografico</w:t>
      </w:r>
      <w:r>
        <w:t>, in “Annali della Facoltà di Scienze della Formazione”, n. 1, 2002, pp. 81-112.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 xml:space="preserve">Mestieri e professioni nell’area </w:t>
      </w:r>
      <w:proofErr w:type="spellStart"/>
      <w:r>
        <w:rPr>
          <w:rFonts w:ascii="Times-Roman" w:hAnsi="Times-Roman"/>
          <w:i/>
        </w:rPr>
        <w:t>iblea</w:t>
      </w:r>
      <w:proofErr w:type="spellEnd"/>
      <w:r>
        <w:rPr>
          <w:rFonts w:ascii="Times-Roman" w:hAnsi="Times-Roman"/>
          <w:i/>
        </w:rPr>
        <w:t>. Analisi delle fonti (secolo XIX)</w:t>
      </w:r>
      <w:r>
        <w:rPr>
          <w:rFonts w:ascii="Times-Roman" w:hAnsi="Times-Roman"/>
        </w:rPr>
        <w:t>, in “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-Roman" w:hAnsi="Times-Roman"/>
          </w:rPr>
          <w:t>La Provincia</w:t>
        </w:r>
      </w:smartTag>
      <w:r>
        <w:rPr>
          <w:rFonts w:ascii="Times-Roman" w:hAnsi="Times-Roman"/>
        </w:rPr>
        <w:t xml:space="preserve"> di Ragusa”, a. XVIII, n. 5, ottobre 2003, pp. 36-37.</w:t>
      </w:r>
    </w:p>
    <w:p w:rsidR="00C52B07" w:rsidRDefault="00C52B07" w:rsidP="00C52B07">
      <w:pPr>
        <w:pStyle w:val="Puntoelenco"/>
      </w:pPr>
      <w:r>
        <w:rPr>
          <w:i/>
        </w:rPr>
        <w:t>Università, potere e rivoluzione: docenti “in prima linea”</w:t>
      </w:r>
      <w:r>
        <w:t>, in “Annali della Facoltà di Scienze della Formazione”, n. 3, 2004, pp. 169-198.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I Cappuccini a Modica: note di vita conventuale</w:t>
      </w:r>
      <w:r>
        <w:rPr>
          <w:rFonts w:ascii="Times-Roman" w:hAnsi="Times-Roman"/>
        </w:rPr>
        <w:t>, in “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Times-Roman" w:hAnsi="Times-Roman"/>
          </w:rPr>
          <w:t>La Provincia</w:t>
        </w:r>
      </w:smartTag>
      <w:r>
        <w:rPr>
          <w:rFonts w:ascii="Times-Roman" w:hAnsi="Times-Roman"/>
        </w:rPr>
        <w:t xml:space="preserve"> di Ragusa”, a. XIX, n. 6, dicembre 2004, pp. 45-46.</w:t>
      </w:r>
      <w:r>
        <w:t xml:space="preserve"> 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 xml:space="preserve">Mestieri e professioni nell’area </w:t>
      </w:r>
      <w:proofErr w:type="spellStart"/>
      <w:r>
        <w:rPr>
          <w:rFonts w:ascii="Times-Roman" w:hAnsi="Times-Roman"/>
          <w:i/>
        </w:rPr>
        <w:t>iblea</w:t>
      </w:r>
      <w:proofErr w:type="spellEnd"/>
      <w:r>
        <w:rPr>
          <w:rFonts w:ascii="Times-Roman" w:hAnsi="Times-Roman"/>
          <w:i/>
        </w:rPr>
        <w:t>. Analisi delle fonti (secolo XIX)</w:t>
      </w:r>
      <w:r>
        <w:rPr>
          <w:rFonts w:ascii="Times-Roman" w:hAnsi="Times-Roman"/>
        </w:rPr>
        <w:t xml:space="preserve">, in S. Raffaele (a cura di), </w:t>
      </w:r>
      <w:r>
        <w:rPr>
          <w:rFonts w:ascii="Times-Roman" w:hAnsi="Times-Roman"/>
          <w:i/>
        </w:rPr>
        <w:t>I segni della memoria: quadri generali e contesti locali. Istituzioni, società e territorio</w:t>
      </w:r>
      <w:r>
        <w:rPr>
          <w:rFonts w:ascii="Times-Roman" w:hAnsi="Times-Roman"/>
        </w:rPr>
        <w:t xml:space="preserve">, Atti del Convegno, </w:t>
      </w:r>
      <w:proofErr w:type="spellStart"/>
      <w:r>
        <w:rPr>
          <w:rFonts w:ascii="Times-Roman" w:hAnsi="Times-Roman"/>
        </w:rPr>
        <w:t>Donnafugata</w:t>
      </w:r>
      <w:proofErr w:type="spellEnd"/>
      <w:r>
        <w:rPr>
          <w:rFonts w:ascii="Times-Roman" w:hAnsi="Times-Roman"/>
        </w:rPr>
        <w:t xml:space="preserve">, Modica e Ragusa </w:t>
      </w:r>
      <w:proofErr w:type="spellStart"/>
      <w:r>
        <w:rPr>
          <w:rFonts w:ascii="Times-Roman" w:hAnsi="Times-Roman"/>
        </w:rPr>
        <w:t>Ibla</w:t>
      </w:r>
      <w:proofErr w:type="spellEnd"/>
      <w:r>
        <w:rPr>
          <w:rFonts w:ascii="Times-Roman" w:hAnsi="Times-Roman"/>
        </w:rPr>
        <w:t xml:space="preserve"> (1-4 ottobre 2003), Catania, </w:t>
      </w:r>
      <w:proofErr w:type="spellStart"/>
      <w:r>
        <w:rPr>
          <w:rFonts w:ascii="Times-Roman" w:hAnsi="Times-Roman"/>
        </w:rPr>
        <w:t>Cuecm</w:t>
      </w:r>
      <w:proofErr w:type="spellEnd"/>
      <w:r>
        <w:rPr>
          <w:rFonts w:ascii="Times-Roman" w:hAnsi="Times-Roman"/>
        </w:rPr>
        <w:t>, 2005, pp. 155-173.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 xml:space="preserve">L’Accademia </w:t>
      </w:r>
      <w:proofErr w:type="spellStart"/>
      <w:r>
        <w:rPr>
          <w:rFonts w:ascii="Times-Roman" w:hAnsi="Times-Roman"/>
          <w:i/>
        </w:rPr>
        <w:t>Gioenia</w:t>
      </w:r>
      <w:proofErr w:type="spellEnd"/>
      <w:r>
        <w:rPr>
          <w:rFonts w:ascii="Times-Roman" w:hAnsi="Times-Roman"/>
          <w:i/>
        </w:rPr>
        <w:t xml:space="preserve"> e il potere urbano</w:t>
      </w:r>
      <w:r>
        <w:rPr>
          <w:rFonts w:ascii="Times-Roman" w:hAnsi="Times-Roman"/>
        </w:rPr>
        <w:t xml:space="preserve">, in M. </w:t>
      </w:r>
      <w:proofErr w:type="spellStart"/>
      <w:r>
        <w:rPr>
          <w:rFonts w:ascii="Times-Roman" w:hAnsi="Times-Roman"/>
        </w:rPr>
        <w:t>Alberghina</w:t>
      </w:r>
      <w:proofErr w:type="spellEnd"/>
      <w:r>
        <w:rPr>
          <w:rFonts w:ascii="Times-Roman" w:hAnsi="Times-Roman"/>
        </w:rPr>
        <w:t xml:space="preserve"> (a cura di), </w:t>
      </w:r>
      <w:r>
        <w:rPr>
          <w:rFonts w:ascii="Times-Roman" w:hAnsi="Times-Roman"/>
          <w:i/>
        </w:rPr>
        <w:t xml:space="preserve">L’Accademia </w:t>
      </w:r>
      <w:proofErr w:type="spellStart"/>
      <w:r>
        <w:rPr>
          <w:rFonts w:ascii="Times-Roman" w:hAnsi="Times-Roman"/>
          <w:i/>
        </w:rPr>
        <w:t>Gioenia</w:t>
      </w:r>
      <w:proofErr w:type="spellEnd"/>
      <w:r>
        <w:rPr>
          <w:rFonts w:ascii="Times-Roman" w:hAnsi="Times-Roman"/>
          <w:i/>
        </w:rPr>
        <w:t>. 180 anni di cultura scientifica (1824-2004)</w:t>
      </w:r>
      <w:r>
        <w:rPr>
          <w:rFonts w:ascii="Times-Roman" w:hAnsi="Times-Roman"/>
        </w:rPr>
        <w:t xml:space="preserve">, Catania, </w:t>
      </w:r>
      <w:proofErr w:type="spellStart"/>
      <w:r>
        <w:rPr>
          <w:rFonts w:ascii="Times-Roman" w:hAnsi="Times-Roman"/>
        </w:rPr>
        <w:t>Maimone</w:t>
      </w:r>
      <w:proofErr w:type="spellEnd"/>
      <w:r>
        <w:rPr>
          <w:rFonts w:ascii="Times-Roman" w:hAnsi="Times-Roman"/>
        </w:rPr>
        <w:t>, 2005, pp. 79-85.</w:t>
      </w:r>
    </w:p>
    <w:p w:rsidR="00C52B07" w:rsidRDefault="00C52B07" w:rsidP="00C52B07">
      <w:pPr>
        <w:pStyle w:val="Puntoelenco"/>
      </w:pPr>
      <w:r>
        <w:rPr>
          <w:i/>
        </w:rPr>
        <w:t>I luoghi di aggregazione nella Sicilia moderna. Le confraternite: il caso di s. Orsola</w:t>
      </w:r>
      <w:r>
        <w:t>, in “</w:t>
      </w:r>
      <w:proofErr w:type="spellStart"/>
      <w:r>
        <w:t>Synaxis</w:t>
      </w:r>
      <w:proofErr w:type="spellEnd"/>
      <w:r>
        <w:t>”, XXIII/3, 2005, pp. 145-193.</w:t>
      </w:r>
    </w:p>
    <w:p w:rsidR="00C52B07" w:rsidRDefault="00C52B07" w:rsidP="00C52B07">
      <w:pPr>
        <w:pStyle w:val="Puntoelenco"/>
      </w:pPr>
      <w:r>
        <w:rPr>
          <w:i/>
        </w:rPr>
        <w:t xml:space="preserve">Concetta Maria Grimaldi e </w:t>
      </w:r>
      <w:proofErr w:type="spellStart"/>
      <w:r>
        <w:rPr>
          <w:i/>
        </w:rPr>
        <w:t>Nicolaci</w:t>
      </w:r>
      <w:proofErr w:type="spellEnd"/>
      <w:r>
        <w:rPr>
          <w:i/>
        </w:rPr>
        <w:t xml:space="preserve"> (1763-1848)</w:t>
      </w:r>
      <w:r>
        <w:rPr>
          <w:iCs/>
        </w:rPr>
        <w:t xml:space="preserve">, in M. Fiume (a cura di), </w:t>
      </w:r>
      <w:r>
        <w:rPr>
          <w:i/>
        </w:rPr>
        <w:t>Siciliane. Dizionario biografico</w:t>
      </w:r>
      <w:r>
        <w:rPr>
          <w:iCs/>
        </w:rPr>
        <w:t>, Siracusa, E. Romeo Editore, 2006, pp. 249-250.</w:t>
      </w:r>
    </w:p>
    <w:p w:rsidR="00C52B07" w:rsidRDefault="00C52B07" w:rsidP="00C52B07">
      <w:pPr>
        <w:pStyle w:val="Puntoelenco"/>
      </w:pPr>
      <w:r>
        <w:rPr>
          <w:rFonts w:ascii="Times-Roman" w:hAnsi="Times-Roman"/>
          <w:i/>
        </w:rPr>
        <w:t>I Cappuccini a Modica: note di vita conventuale</w:t>
      </w:r>
      <w:r>
        <w:rPr>
          <w:rFonts w:ascii="Times-Roman" w:hAnsi="Times-Roman"/>
        </w:rPr>
        <w:t xml:space="preserve">, Atti del Convegno Internazionale di studio </w:t>
      </w:r>
      <w:r>
        <w:rPr>
          <w:rFonts w:ascii="Times-Roman" w:hAnsi="Times-Roman"/>
          <w:i/>
          <w:iCs/>
        </w:rPr>
        <w:t xml:space="preserve">Il Francescanesimo </w:t>
      </w:r>
      <w:proofErr w:type="spellStart"/>
      <w:r>
        <w:rPr>
          <w:rFonts w:ascii="Times-Roman" w:hAnsi="Times-Roman"/>
          <w:i/>
          <w:iCs/>
        </w:rPr>
        <w:t>Ibleo</w:t>
      </w:r>
      <w:proofErr w:type="spellEnd"/>
      <w:r>
        <w:rPr>
          <w:rFonts w:ascii="Times-Roman" w:hAnsi="Times-Roman"/>
        </w:rPr>
        <w:t xml:space="preserve">, Ragusa, Modica, Comiso, 10-13 ottobre </w:t>
      </w:r>
      <w:smartTag w:uri="urn:schemas-microsoft-com:office:smarttags" w:element="metricconverter">
        <w:smartTagPr>
          <w:attr w:name="ProductID" w:val="2004, in"/>
        </w:smartTagPr>
        <w:r>
          <w:rPr>
            <w:rFonts w:ascii="Times-Roman" w:hAnsi="Times-Roman"/>
          </w:rPr>
          <w:t>2004, in</w:t>
        </w:r>
      </w:smartTag>
      <w:r>
        <w:rPr>
          <w:rFonts w:ascii="Times-Roman" w:hAnsi="Times-Roman"/>
        </w:rPr>
        <w:t xml:space="preserve"> C. Miceli, D. Ciccarelli (a cura di), </w:t>
      </w:r>
      <w:r>
        <w:rPr>
          <w:rFonts w:ascii="Times-Roman" w:hAnsi="Times-Roman"/>
          <w:i/>
          <w:iCs/>
        </w:rPr>
        <w:t xml:space="preserve">Francescanesimo e cultura negli </w:t>
      </w:r>
      <w:proofErr w:type="spellStart"/>
      <w:r>
        <w:rPr>
          <w:rFonts w:ascii="Times-Roman" w:hAnsi="Times-Roman"/>
          <w:i/>
          <w:iCs/>
        </w:rPr>
        <w:t>Iblei</w:t>
      </w:r>
      <w:proofErr w:type="spellEnd"/>
      <w:r>
        <w:rPr>
          <w:rFonts w:ascii="Times-Roman" w:hAnsi="Times-Roman"/>
        </w:rPr>
        <w:t>, Palermo, Biblioteca Francescana, Officina di Studi Medievali, 2006, pp. 91-102.</w:t>
      </w:r>
    </w:p>
    <w:p w:rsidR="00C52B07" w:rsidRDefault="00C52B07" w:rsidP="00C52B07">
      <w:pPr>
        <w:pStyle w:val="Puntoelenco"/>
      </w:pPr>
      <w:r>
        <w:rPr>
          <w:i/>
        </w:rPr>
        <w:t xml:space="preserve">Sei tu bella </w:t>
      </w:r>
      <w:proofErr w:type="spellStart"/>
      <w:r>
        <w:rPr>
          <w:i/>
        </w:rPr>
        <w:t>Trinacria</w:t>
      </w:r>
      <w:proofErr w:type="spellEnd"/>
      <w:r>
        <w:rPr>
          <w:i/>
        </w:rPr>
        <w:t xml:space="preserve"> che </w:t>
      </w:r>
      <w:proofErr w:type="spellStart"/>
      <w:r>
        <w:rPr>
          <w:i/>
        </w:rPr>
        <w:t>alfin</w:t>
      </w:r>
      <w:proofErr w:type="spellEnd"/>
      <w:r>
        <w:rPr>
          <w:i/>
        </w:rPr>
        <w:t xml:space="preserve"> col piede io premo? La scoperta dell’antico nel </w:t>
      </w:r>
      <w:proofErr w:type="spellStart"/>
      <w:r>
        <w:rPr>
          <w:i/>
        </w:rPr>
        <w:t>Grand</w:t>
      </w:r>
      <w:proofErr w:type="spellEnd"/>
      <w:r>
        <w:rPr>
          <w:i/>
        </w:rPr>
        <w:t xml:space="preserve"> Tour in Sicilia (XVIII-XIX)</w:t>
      </w:r>
      <w:r>
        <w:rPr>
          <w:iCs/>
        </w:rPr>
        <w:t xml:space="preserve">, in F. Benigno, N. </w:t>
      </w:r>
      <w:proofErr w:type="spellStart"/>
      <w:r>
        <w:rPr>
          <w:iCs/>
        </w:rPr>
        <w:t>Bazzano</w:t>
      </w:r>
      <w:proofErr w:type="spellEnd"/>
      <w:r>
        <w:rPr>
          <w:iCs/>
        </w:rPr>
        <w:t xml:space="preserve"> (a cura di), </w:t>
      </w:r>
      <w:r>
        <w:rPr>
          <w:rFonts w:ascii="Times-Roman" w:hAnsi="Times-Roman"/>
          <w:i/>
          <w:iCs/>
        </w:rPr>
        <w:t>Uso e reinvenzione dell’antico nella politica di età moderna (secoli XVI-XIX)</w:t>
      </w:r>
      <w:r>
        <w:rPr>
          <w:rFonts w:ascii="Times-Roman" w:hAnsi="Times-Roman"/>
        </w:rPr>
        <w:t xml:space="preserve">, Atti del Convegno, Teramo, 18-19 maggio 2006, </w:t>
      </w:r>
      <w:proofErr w:type="spellStart"/>
      <w:r>
        <w:rPr>
          <w:rFonts w:ascii="Times-Roman" w:hAnsi="Times-Roman"/>
        </w:rPr>
        <w:t>Manduria-Bari-Roma</w:t>
      </w:r>
      <w:proofErr w:type="spellEnd"/>
      <w:r>
        <w:rPr>
          <w:rFonts w:ascii="Times-Roman" w:hAnsi="Times-Roman"/>
        </w:rPr>
        <w:t xml:space="preserve">, </w:t>
      </w:r>
      <w:proofErr w:type="spellStart"/>
      <w:r>
        <w:rPr>
          <w:rFonts w:ascii="Times-Roman" w:hAnsi="Times-Roman"/>
        </w:rPr>
        <w:t>Lacaita</w:t>
      </w:r>
      <w:proofErr w:type="spellEnd"/>
      <w:r>
        <w:rPr>
          <w:rFonts w:ascii="Times-Roman" w:hAnsi="Times-Roman"/>
        </w:rPr>
        <w:t>, 2006, pp. 241-263.</w:t>
      </w:r>
    </w:p>
    <w:p w:rsidR="00C52B07" w:rsidRDefault="00C52B07" w:rsidP="00C52B07">
      <w:pPr>
        <w:pStyle w:val="Puntoelenco"/>
        <w:rPr>
          <w:b/>
          <w:bCs/>
        </w:rPr>
      </w:pPr>
      <w:r>
        <w:rPr>
          <w:i/>
        </w:rPr>
        <w:t xml:space="preserve">La scoperta dell’antico nel </w:t>
      </w:r>
      <w:proofErr w:type="spellStart"/>
      <w:r>
        <w:rPr>
          <w:i/>
        </w:rPr>
        <w:t>Grand</w:t>
      </w:r>
      <w:proofErr w:type="spellEnd"/>
      <w:r>
        <w:rPr>
          <w:i/>
        </w:rPr>
        <w:t xml:space="preserve"> Tour in Sicilia (secoli XVIII-XIX)</w:t>
      </w:r>
      <w:r>
        <w:rPr>
          <w:iCs/>
        </w:rPr>
        <w:t xml:space="preserve">, in S. Raffaele (a cura di), </w:t>
      </w:r>
      <w:r>
        <w:rPr>
          <w:i/>
        </w:rPr>
        <w:t xml:space="preserve">Il sapore dell’antico. Regia Custodia, </w:t>
      </w:r>
      <w:proofErr w:type="spellStart"/>
      <w:r>
        <w:rPr>
          <w:i/>
        </w:rPr>
        <w:t>Grand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Tour…e</w:t>
      </w:r>
      <w:proofErr w:type="spellEnd"/>
      <w:r>
        <w:rPr>
          <w:i/>
        </w:rPr>
        <w:t xml:space="preserve"> altro nella Sicilia del </w:t>
      </w:r>
      <w:proofErr w:type="spellStart"/>
      <w:r>
        <w:rPr>
          <w:i/>
        </w:rPr>
        <w:t>Sette-Ottocento</w:t>
      </w:r>
      <w:proofErr w:type="spellEnd"/>
      <w:r>
        <w:rPr>
          <w:iCs/>
        </w:rPr>
        <w:t xml:space="preserve">, Catania, </w:t>
      </w:r>
      <w:proofErr w:type="spellStart"/>
      <w:r>
        <w:rPr>
          <w:iCs/>
        </w:rPr>
        <w:t>Cuecm</w:t>
      </w:r>
      <w:proofErr w:type="spellEnd"/>
      <w:r>
        <w:rPr>
          <w:iCs/>
        </w:rPr>
        <w:t xml:space="preserve">, 2007, pp. 87-129. </w:t>
      </w:r>
    </w:p>
    <w:p w:rsidR="00C52B07" w:rsidRDefault="00C52B07" w:rsidP="00C52B07">
      <w:pPr>
        <w:pStyle w:val="Puntoelenco"/>
      </w:pPr>
      <w:r>
        <w:rPr>
          <w:i/>
        </w:rPr>
        <w:t>Il bisturi e la toga. Università e potere urbano nella Sicilia borbonica. Il ruolo del medico (secoli XVIII-XIX)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2008.</w:t>
      </w:r>
    </w:p>
    <w:p w:rsidR="00C52B07" w:rsidRDefault="00C52B07" w:rsidP="00C52B07">
      <w:pPr>
        <w:pStyle w:val="Puntoelenco"/>
      </w:pPr>
      <w:r>
        <w:rPr>
          <w:i/>
        </w:rPr>
        <w:t xml:space="preserve">Di carattere intemerato e incrollabile, onestissimo, retto: </w:t>
      </w:r>
      <w:proofErr w:type="spellStart"/>
      <w:r>
        <w:rPr>
          <w:i/>
        </w:rPr>
        <w:t>Euplio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Reina</w:t>
      </w:r>
      <w:proofErr w:type="spellEnd"/>
      <w:r>
        <w:t xml:space="preserve">, in S. Raffaele (a cura di), </w:t>
      </w:r>
      <w:r>
        <w:rPr>
          <w:i/>
        </w:rPr>
        <w:t xml:space="preserve">Medici e ateneo: </w:t>
      </w:r>
      <w:r>
        <w:rPr>
          <w:i/>
          <w:iCs/>
        </w:rPr>
        <w:t>l’onda lunga del potere</w:t>
      </w:r>
      <w:r>
        <w:t xml:space="preserve">, Catania, </w:t>
      </w:r>
      <w:proofErr w:type="spellStart"/>
      <w:r>
        <w:t>Cuecm</w:t>
      </w:r>
      <w:proofErr w:type="spellEnd"/>
      <w:r>
        <w:t>, 2008, pp. 97-128.</w:t>
      </w:r>
    </w:p>
    <w:p w:rsidR="00C52B07" w:rsidRDefault="00C52B07" w:rsidP="00C52B07">
      <w:pPr>
        <w:pStyle w:val="Puntoelenco"/>
      </w:pPr>
      <w:r>
        <w:rPr>
          <w:i/>
        </w:rPr>
        <w:t xml:space="preserve">Il </w:t>
      </w:r>
      <w:proofErr w:type="spellStart"/>
      <w:r>
        <w:rPr>
          <w:i/>
        </w:rPr>
        <w:t>Grand</w:t>
      </w:r>
      <w:proofErr w:type="spellEnd"/>
      <w:r>
        <w:rPr>
          <w:i/>
        </w:rPr>
        <w:t xml:space="preserve"> Tour. Un laboratorio di intercultura</w:t>
      </w:r>
      <w:r>
        <w:t xml:space="preserve">, in G. J. </w:t>
      </w:r>
      <w:proofErr w:type="spellStart"/>
      <w:r>
        <w:t>Kaczynski</w:t>
      </w:r>
      <w:proofErr w:type="spellEnd"/>
      <w:r>
        <w:t xml:space="preserve"> (a cura di), </w:t>
      </w:r>
      <w:r>
        <w:rPr>
          <w:i/>
        </w:rPr>
        <w:t>Il paesaggio multiculturale. Immigrazione, contatto culturale e società locale</w:t>
      </w:r>
      <w:r>
        <w:t xml:space="preserve">, Milano, </w:t>
      </w:r>
      <w:proofErr w:type="spellStart"/>
      <w:r>
        <w:t>FrancoAngeli</w:t>
      </w:r>
      <w:proofErr w:type="spellEnd"/>
      <w:r>
        <w:t>, 2008, pp. 179-201.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>“Per consolare il mio trafitto cuore”. Storie di monache: le clarisse a Catania in età moderna</w:t>
      </w:r>
      <w:r>
        <w:rPr>
          <w:szCs w:val="24"/>
        </w:rPr>
        <w:t xml:space="preserve">, in N. </w:t>
      </w:r>
      <w:proofErr w:type="spellStart"/>
      <w:r>
        <w:rPr>
          <w:szCs w:val="24"/>
        </w:rPr>
        <w:t>Grisanti</w:t>
      </w:r>
      <w:proofErr w:type="spellEnd"/>
      <w:r>
        <w:rPr>
          <w:szCs w:val="24"/>
        </w:rPr>
        <w:t xml:space="preserve"> (a cura di),</w:t>
      </w:r>
      <w:r>
        <w:rPr>
          <w:i/>
          <w:szCs w:val="24"/>
        </w:rPr>
        <w:t xml:space="preserve"> Francescanesimo e cultura nella provincia di Catania</w:t>
      </w:r>
      <w:r>
        <w:rPr>
          <w:szCs w:val="24"/>
        </w:rPr>
        <w:t>, Atti del Convegno di studio, Catania, 21-22 dicembre 2007, Palermo, Biblioteca Francescana, Officina di Studi Medievali, 2008, pp. 219-232.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 xml:space="preserve">Qualche parola su </w:t>
      </w:r>
      <w:proofErr w:type="spellStart"/>
      <w:r>
        <w:rPr>
          <w:i/>
          <w:szCs w:val="24"/>
        </w:rPr>
        <w:t>Brown</w:t>
      </w:r>
      <w:proofErr w:type="spellEnd"/>
      <w:r>
        <w:rPr>
          <w:i/>
          <w:szCs w:val="24"/>
        </w:rPr>
        <w:t xml:space="preserve">. Un sistema medico tra scienza e politica nel </w:t>
      </w:r>
      <w:r>
        <w:rPr>
          <w:szCs w:val="24"/>
        </w:rPr>
        <w:t>Discorso</w:t>
      </w:r>
      <w:r>
        <w:rPr>
          <w:i/>
          <w:szCs w:val="24"/>
        </w:rPr>
        <w:t xml:space="preserve"> di Antonino Di Giacomo</w:t>
      </w:r>
      <w:r>
        <w:rPr>
          <w:szCs w:val="24"/>
        </w:rPr>
        <w:t>, in “Annali della Facoltà di Scienze della Formazione”, n. 8, 2009, pp. 51-63.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 xml:space="preserve">La </w:t>
      </w:r>
      <w:proofErr w:type="spellStart"/>
      <w:r>
        <w:rPr>
          <w:i/>
          <w:szCs w:val="24"/>
        </w:rPr>
        <w:t>sociabilità</w:t>
      </w:r>
      <w:proofErr w:type="spellEnd"/>
      <w:r>
        <w:rPr>
          <w:i/>
          <w:szCs w:val="24"/>
        </w:rPr>
        <w:t xml:space="preserve"> culturale</w:t>
      </w:r>
      <w:r>
        <w:rPr>
          <w:szCs w:val="24"/>
        </w:rPr>
        <w:t xml:space="preserve">, in E. </w:t>
      </w:r>
      <w:proofErr w:type="spellStart"/>
      <w:r>
        <w:rPr>
          <w:szCs w:val="24"/>
        </w:rPr>
        <w:t>Iachello</w:t>
      </w:r>
      <w:proofErr w:type="spellEnd"/>
      <w:r>
        <w:rPr>
          <w:szCs w:val="24"/>
        </w:rPr>
        <w:t xml:space="preserve"> (a cura di), </w:t>
      </w:r>
      <w:r>
        <w:rPr>
          <w:i/>
          <w:szCs w:val="24"/>
        </w:rPr>
        <w:t>Catania</w:t>
      </w:r>
      <w:r>
        <w:rPr>
          <w:szCs w:val="24"/>
        </w:rPr>
        <w:t xml:space="preserve">, Catania, Domenico </w:t>
      </w:r>
      <w:proofErr w:type="spellStart"/>
      <w:r>
        <w:rPr>
          <w:szCs w:val="24"/>
        </w:rPr>
        <w:t>Sanfilippo</w:t>
      </w:r>
      <w:proofErr w:type="spellEnd"/>
      <w:r>
        <w:rPr>
          <w:szCs w:val="24"/>
        </w:rPr>
        <w:t xml:space="preserve"> Editore, 2010, vol. III, pp. 272-</w:t>
      </w:r>
      <w:smartTag w:uri="urn:schemas-microsoft-com:office:smarttags" w:element="metricconverter">
        <w:smartTagPr>
          <w:attr w:name="ProductID" w:val="287, in"/>
        </w:smartTagPr>
        <w:r>
          <w:rPr>
            <w:szCs w:val="24"/>
          </w:rPr>
          <w:t>287, in</w:t>
        </w:r>
      </w:smartTag>
      <w:r>
        <w:rPr>
          <w:szCs w:val="24"/>
        </w:rPr>
        <w:t xml:space="preserve"> collaborazione con S. Raffaele.</w:t>
      </w:r>
    </w:p>
    <w:p w:rsidR="00C52B07" w:rsidRDefault="00C52B07" w:rsidP="00C52B07">
      <w:pPr>
        <w:pStyle w:val="Puntoelenco"/>
        <w:rPr>
          <w:szCs w:val="24"/>
        </w:rPr>
      </w:pPr>
      <w:r>
        <w:rPr>
          <w:i/>
          <w:szCs w:val="24"/>
        </w:rPr>
        <w:t>Lavorare in silenzio. Mestieri di donne nella Sicilia Orientale (1835)</w:t>
      </w:r>
      <w:r>
        <w:rPr>
          <w:szCs w:val="24"/>
        </w:rPr>
        <w:t xml:space="preserve">, in G. </w:t>
      </w:r>
      <w:proofErr w:type="spellStart"/>
      <w:r>
        <w:rPr>
          <w:szCs w:val="24"/>
        </w:rPr>
        <w:t>Summerfield</w:t>
      </w:r>
      <w:proofErr w:type="spellEnd"/>
      <w:r>
        <w:rPr>
          <w:szCs w:val="24"/>
        </w:rPr>
        <w:t xml:space="preserve"> (a cura di), </w:t>
      </w:r>
      <w:r>
        <w:rPr>
          <w:i/>
          <w:szCs w:val="24"/>
        </w:rPr>
        <w:t>Siciliane. Così sono se vi pare</w:t>
      </w:r>
      <w:r>
        <w:rPr>
          <w:szCs w:val="24"/>
        </w:rPr>
        <w:t xml:space="preserve">, Novi Ligure, </w:t>
      </w:r>
      <w:proofErr w:type="spellStart"/>
      <w:r>
        <w:rPr>
          <w:szCs w:val="24"/>
        </w:rPr>
        <w:t>Puntoacapo</w:t>
      </w:r>
      <w:proofErr w:type="spellEnd"/>
      <w:r>
        <w:rPr>
          <w:szCs w:val="24"/>
        </w:rPr>
        <w:t>, 2011, pp. 11-27.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lastRenderedPageBreak/>
        <w:t>Le chiavi della pubblica felicità. Istruzione e formazione nel Mezzogiorno tra Rivoluzione e Restaurazione</w:t>
      </w:r>
      <w:r>
        <w:t xml:space="preserve">, in A. </w:t>
      </w:r>
      <w:proofErr w:type="spellStart"/>
      <w:r>
        <w:t>Giuffrida</w:t>
      </w:r>
      <w:proofErr w:type="spellEnd"/>
      <w:r>
        <w:t>, F. D’</w:t>
      </w:r>
      <w:proofErr w:type="spellStart"/>
      <w:r>
        <w:t>Avenia</w:t>
      </w:r>
      <w:proofErr w:type="spellEnd"/>
      <w:r>
        <w:t xml:space="preserve">, D. Palermo (a cura di), </w:t>
      </w:r>
      <w:r>
        <w:rPr>
          <w:i/>
        </w:rPr>
        <w:t xml:space="preserve">Studi storici dedicati a Orazio </w:t>
      </w:r>
      <w:proofErr w:type="spellStart"/>
      <w:r>
        <w:rPr>
          <w:i/>
        </w:rPr>
        <w:t>Cancila</w:t>
      </w:r>
      <w:proofErr w:type="spellEnd"/>
      <w:r>
        <w:t>, Palermo, Mediterranea, 2011, pp. 1254-1270.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Avanguardia medica e medici all’avanguardia nella Sicilia borbonica</w:t>
      </w:r>
      <w:r>
        <w:t xml:space="preserve">, in D. Ligresti (a cura di), </w:t>
      </w:r>
      <w:r>
        <w:rPr>
          <w:i/>
        </w:rPr>
        <w:t>La cultura scientifica nella Sicilia borbonica</w:t>
      </w:r>
      <w:r>
        <w:t xml:space="preserve">, Catania, </w:t>
      </w:r>
      <w:proofErr w:type="spellStart"/>
      <w:r>
        <w:t>Maimone</w:t>
      </w:r>
      <w:proofErr w:type="spellEnd"/>
      <w:r>
        <w:t>, 2011, pp. 87-101.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Misfatti e malfattori. Il sistema penale nel Meridione borbonico</w:t>
      </w:r>
      <w:r>
        <w:t xml:space="preserve">, in F. Biondi (a cura di), </w:t>
      </w:r>
      <w:r>
        <w:rPr>
          <w:i/>
        </w:rPr>
        <w:t>Pensiero politico e istituzioni nella transizione dal Regno borbonico all’Unità d’Italia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2011, pp. 245-265.</w:t>
      </w:r>
    </w:p>
    <w:p w:rsidR="00C52B07" w:rsidRDefault="00C52B07" w:rsidP="00C52B07">
      <w:pPr>
        <w:pStyle w:val="Puntoelenco"/>
        <w:ind w:left="357" w:hanging="357"/>
      </w:pPr>
      <w:r>
        <w:rPr>
          <w:i/>
          <w:szCs w:val="24"/>
        </w:rPr>
        <w:t>Politica e società nel decennio francese: i percorsi formativi</w:t>
      </w:r>
      <w:r>
        <w:rPr>
          <w:szCs w:val="24"/>
        </w:rPr>
        <w:t xml:space="preserve">, in B. Pellegrino (a cura di), </w:t>
      </w:r>
      <w:r>
        <w:rPr>
          <w:i/>
          <w:szCs w:val="24"/>
        </w:rPr>
        <w:t>Il Mezzogiorno d’Italia in età napoleonica</w:t>
      </w:r>
      <w:r>
        <w:rPr>
          <w:szCs w:val="24"/>
        </w:rPr>
        <w:t>, Atti del Convegno di Studi in occasione del Bicentenario del “Decennio Francese”, Potenza, 7-9 maggio 2007, Galatina, Congedo, 2011, tomo II, pp. 605-630, in collaborazione con S. Raffaele.</w:t>
      </w:r>
    </w:p>
    <w:p w:rsidR="00C52B07" w:rsidRDefault="00C52B07" w:rsidP="00C52B07">
      <w:pPr>
        <w:pStyle w:val="Puntoelenco"/>
        <w:ind w:left="357" w:hanging="357"/>
      </w:pPr>
      <w:r>
        <w:t xml:space="preserve">E. Frasca </w:t>
      </w:r>
      <w:proofErr w:type="spellStart"/>
      <w:r>
        <w:t>et</w:t>
      </w:r>
      <w:proofErr w:type="spellEnd"/>
      <w:r>
        <w:t xml:space="preserve"> al., </w:t>
      </w:r>
      <w:r>
        <w:rPr>
          <w:i/>
        </w:rPr>
        <w:t>Paracelso: vita e contributo all’evoluzione delle scienze mediche, umane e neuropsichiatriche</w:t>
      </w:r>
      <w:r>
        <w:t>, in “</w:t>
      </w:r>
      <w:proofErr w:type="spellStart"/>
      <w:r>
        <w:t>Acta</w:t>
      </w:r>
      <w:proofErr w:type="spellEnd"/>
      <w:r>
        <w:t xml:space="preserve"> Medica Mediterranea”, vol. 27, n. 3, 2011, pp. 153-161.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 xml:space="preserve">Non </w:t>
      </w:r>
      <w:proofErr w:type="spellStart"/>
      <w:r>
        <w:rPr>
          <w:i/>
        </w:rPr>
        <w:t>havvi</w:t>
      </w:r>
      <w:proofErr w:type="spellEnd"/>
      <w:r>
        <w:rPr>
          <w:i/>
        </w:rPr>
        <w:t xml:space="preserve"> scienza che alla Medicina legale possa agguagliarsi. Il primo concorso nel </w:t>
      </w:r>
      <w:proofErr w:type="spellStart"/>
      <w:r>
        <w:rPr>
          <w:i/>
        </w:rPr>
        <w:t>Siculorum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Gymnasium</w:t>
      </w:r>
      <w:proofErr w:type="spellEnd"/>
      <w:r>
        <w:rPr>
          <w:i/>
        </w:rPr>
        <w:t xml:space="preserve"> (1843-1845)</w:t>
      </w:r>
      <w:r>
        <w:t xml:space="preserve">, Catania, </w:t>
      </w:r>
      <w:proofErr w:type="spellStart"/>
      <w:r>
        <w:t>Cuecm</w:t>
      </w:r>
      <w:proofErr w:type="spellEnd"/>
      <w:r>
        <w:t>, 2012.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L’Introduzione di Michele Amari alla Storia americana di Carlo Botta: esercizi di federalismo?</w:t>
      </w:r>
      <w:r>
        <w:t xml:space="preserve">, in A. De Francesco (a cura di), </w:t>
      </w:r>
      <w:r>
        <w:rPr>
          <w:i/>
        </w:rPr>
        <w:t>Tra Washington e Napoleone. Quattro saggi sulla Storia della guerra americana di Carlo Botta</w:t>
      </w:r>
      <w:r>
        <w:t xml:space="preserve">, Milano, </w:t>
      </w:r>
      <w:proofErr w:type="spellStart"/>
      <w:r>
        <w:t>Guerini</w:t>
      </w:r>
      <w:proofErr w:type="spellEnd"/>
      <w:r>
        <w:t>, 2014, pp. 95-150.</w:t>
      </w:r>
    </w:p>
    <w:p w:rsidR="00C52B07" w:rsidRDefault="00C52B07" w:rsidP="00C52B07">
      <w:pPr>
        <w:pStyle w:val="Puntoelenco"/>
        <w:ind w:left="357" w:hanging="357"/>
      </w:pPr>
      <w:r>
        <w:t xml:space="preserve">E. Frasca </w:t>
      </w:r>
      <w:proofErr w:type="spellStart"/>
      <w:r>
        <w:t>et</w:t>
      </w:r>
      <w:proofErr w:type="spellEnd"/>
      <w:r>
        <w:t xml:space="preserve"> al., </w:t>
      </w:r>
      <w:r>
        <w:rPr>
          <w:i/>
        </w:rPr>
        <w:t xml:space="preserve">The </w:t>
      </w:r>
      <w:proofErr w:type="spellStart"/>
      <w:r>
        <w:rPr>
          <w:i/>
        </w:rPr>
        <w:t>Royal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Protomedicato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Sicily</w:t>
      </w:r>
      <w:proofErr w:type="spellEnd"/>
      <w:r>
        <w:t>, in “</w:t>
      </w:r>
      <w:proofErr w:type="spellStart"/>
      <w:r>
        <w:t>Acta</w:t>
      </w:r>
      <w:proofErr w:type="spellEnd"/>
      <w:r>
        <w:t xml:space="preserve"> Medica Mediterranea”, 30, 2014, pp. 755-759.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 xml:space="preserve">L’eco di </w:t>
      </w:r>
      <w:proofErr w:type="spellStart"/>
      <w:r>
        <w:rPr>
          <w:i/>
        </w:rPr>
        <w:t>Brown</w:t>
      </w:r>
      <w:proofErr w:type="spellEnd"/>
      <w:r>
        <w:rPr>
          <w:i/>
        </w:rPr>
        <w:t>.</w:t>
      </w:r>
      <w:r>
        <w:t xml:space="preserve"> </w:t>
      </w:r>
      <w:r>
        <w:rPr>
          <w:i/>
        </w:rPr>
        <w:t>Teorie mediche e prassi politiche</w:t>
      </w:r>
      <w:r>
        <w:t xml:space="preserve">, Roma, </w:t>
      </w:r>
      <w:proofErr w:type="spellStart"/>
      <w:r>
        <w:t>Carocci</w:t>
      </w:r>
      <w:proofErr w:type="spellEnd"/>
      <w:r>
        <w:t>, 2014.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 xml:space="preserve">«Questa sì deliziosa e cospicua parte dell’Isola». Il Valle di Catania nei </w:t>
      </w:r>
      <w:r>
        <w:t xml:space="preserve">discorsi </w:t>
      </w:r>
      <w:r>
        <w:rPr>
          <w:i/>
        </w:rPr>
        <w:t>degli intendenti (1819-1854)</w:t>
      </w:r>
      <w:r>
        <w:t>, in “Annali della Facoltà di Scienze della Formazione”, 13, 2014, pp. 59-107.</w:t>
      </w:r>
    </w:p>
    <w:p w:rsidR="00C52B07" w:rsidRDefault="00C52B07" w:rsidP="00C52B07">
      <w:pPr>
        <w:pStyle w:val="Puntoelenco"/>
        <w:ind w:left="357" w:hanging="357"/>
      </w:pPr>
      <w:r>
        <w:t xml:space="preserve">E. Frasca </w:t>
      </w:r>
      <w:proofErr w:type="spellStart"/>
      <w:r>
        <w:t>et</w:t>
      </w:r>
      <w:proofErr w:type="spellEnd"/>
      <w:r>
        <w:t xml:space="preserve"> al., </w:t>
      </w:r>
      <w:r>
        <w:rPr>
          <w:i/>
        </w:rPr>
        <w:t xml:space="preserve">Pro e contro </w:t>
      </w:r>
      <w:proofErr w:type="spellStart"/>
      <w:r>
        <w:rPr>
          <w:i/>
        </w:rPr>
        <w:t>Brown</w:t>
      </w:r>
      <w:proofErr w:type="spellEnd"/>
      <w:r>
        <w:rPr>
          <w:i/>
        </w:rPr>
        <w:t xml:space="preserve">. I </w:t>
      </w:r>
      <w:r>
        <w:t xml:space="preserve">Pensieri sulla dottrina di Giovanni </w:t>
      </w:r>
      <w:proofErr w:type="spellStart"/>
      <w:r>
        <w:t>Brown</w:t>
      </w:r>
      <w:proofErr w:type="spellEnd"/>
      <w:r>
        <w:t xml:space="preserve"> </w:t>
      </w:r>
      <w:r>
        <w:rPr>
          <w:i/>
        </w:rPr>
        <w:t>di Tommaso Migliore</w:t>
      </w:r>
      <w:r>
        <w:t>, in “Rivista di Storia della Medicina”, a. XXIV NS (XLV), fasc. luglio-dicembre 2014, pp. 63-72.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Prefazione</w:t>
      </w:r>
      <w:r>
        <w:t xml:space="preserve">, in G. </w:t>
      </w:r>
      <w:proofErr w:type="spellStart"/>
      <w:r>
        <w:t>Trebeschi</w:t>
      </w:r>
      <w:proofErr w:type="spellEnd"/>
      <w:r>
        <w:t xml:space="preserve">, </w:t>
      </w:r>
      <w:r>
        <w:rPr>
          <w:i/>
        </w:rPr>
        <w:t>Elisabetta allo specchio. Riflessioni storico-teatrali sull’età di Shakespeare</w:t>
      </w:r>
      <w:r>
        <w:t xml:space="preserve">, Roma, </w:t>
      </w:r>
      <w:proofErr w:type="spellStart"/>
      <w:r>
        <w:t>Aracne</w:t>
      </w:r>
      <w:proofErr w:type="spellEnd"/>
      <w:r>
        <w:t>, 2015, pp. 11-16.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Recensione</w:t>
      </w:r>
      <w:r>
        <w:t xml:space="preserve"> a </w:t>
      </w:r>
      <w:proofErr w:type="spellStart"/>
      <w:r>
        <w:t>A</w:t>
      </w:r>
      <w:proofErr w:type="spellEnd"/>
      <w:r>
        <w:t xml:space="preserve">. Tortora, </w:t>
      </w:r>
      <w:r>
        <w:rPr>
          <w:i/>
        </w:rPr>
        <w:t>L’eruzione vesuviana del 1631. Una storia d’età moderna</w:t>
      </w:r>
      <w:r>
        <w:t>, in “Nuova Rivista Storica”, vol. C, fasc. II, 2016, pp. 738-741.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 xml:space="preserve">«Donna per ingegno e virtù rara in ogni tempo. Quasi unica nel nostro». Caterina </w:t>
      </w:r>
      <w:proofErr w:type="spellStart"/>
      <w:r>
        <w:rPr>
          <w:i/>
        </w:rPr>
        <w:t>Franceschi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Ferrucci</w:t>
      </w:r>
      <w:proofErr w:type="spellEnd"/>
      <w:r>
        <w:rPr>
          <w:i/>
        </w:rPr>
        <w:t xml:space="preserve"> (1803-1887)</w:t>
      </w:r>
      <w:r>
        <w:t>, in «Annali della Facoltà di Scienze della Formazione», vol. 15 (2016), pp. 101-122.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 xml:space="preserve">Dalla Scozia all’Italia. Il dibattito sulla dottrina medica di John </w:t>
      </w:r>
      <w:proofErr w:type="spellStart"/>
      <w:r>
        <w:rPr>
          <w:i/>
        </w:rPr>
        <w:t>Brown</w:t>
      </w:r>
      <w:proofErr w:type="spellEnd"/>
      <w:r>
        <w:rPr>
          <w:i/>
        </w:rPr>
        <w:t xml:space="preserve"> tra Rivoluzione e Restaurazione</w:t>
      </w:r>
      <w:r>
        <w:t xml:space="preserve">, in “Italianistica </w:t>
      </w:r>
      <w:proofErr w:type="spellStart"/>
      <w:r>
        <w:t>Debreceniensis</w:t>
      </w:r>
      <w:proofErr w:type="spellEnd"/>
      <w:r>
        <w:t>”, XXI-XXII (2016), pp. 32-48.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Introduzione</w:t>
      </w:r>
      <w:r>
        <w:t xml:space="preserve">, in G. </w:t>
      </w:r>
      <w:proofErr w:type="spellStart"/>
      <w:r>
        <w:t>Trebeschi</w:t>
      </w:r>
      <w:proofErr w:type="spellEnd"/>
      <w:r>
        <w:t xml:space="preserve">, </w:t>
      </w:r>
      <w:r>
        <w:rPr>
          <w:i/>
        </w:rPr>
        <w:t>Essere o non essere Shakespeare</w:t>
      </w:r>
      <w:r>
        <w:t xml:space="preserve">, </w:t>
      </w:r>
      <w:proofErr w:type="spellStart"/>
      <w:r>
        <w:t>Günzburg</w:t>
      </w:r>
      <w:proofErr w:type="spellEnd"/>
      <w:r>
        <w:t xml:space="preserve">, </w:t>
      </w:r>
      <w:proofErr w:type="spellStart"/>
      <w:r>
        <w:t>Oakmond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>, 2017, pp. 13-18.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Gli Statuti, il Convitto, la normativa</w:t>
      </w:r>
      <w:r>
        <w:t xml:space="preserve">, in E. Frasca, S. </w:t>
      </w:r>
      <w:proofErr w:type="spellStart"/>
      <w:r>
        <w:t>Sinardo</w:t>
      </w:r>
      <w:proofErr w:type="spellEnd"/>
      <w:r>
        <w:t xml:space="preserve">, </w:t>
      </w:r>
      <w:r>
        <w:rPr>
          <w:i/>
        </w:rPr>
        <w:t>Società, cultura e territorio. Le origini, gli Statuti e il patrimonio nelle carte inedite dell’Ente Morale Autonomo “Liceo Convitto” di Modica (secoli XIX-XX)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2017, pp. 19-81.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«Matrimoni poco convenevoli in dissenso de’ propri genitori». Il matrimonio clandestino nel Mezzogiorno d’Italia (secoli XVIII-XIX)</w:t>
      </w:r>
      <w:r>
        <w:t xml:space="preserve">, in A. Carbone (a cura di), </w:t>
      </w:r>
      <w:r>
        <w:rPr>
          <w:i/>
        </w:rPr>
        <w:t xml:space="preserve">Scritti in onore di Giovanna Da </w:t>
      </w:r>
      <w:proofErr w:type="spellStart"/>
      <w:r>
        <w:rPr>
          <w:i/>
        </w:rPr>
        <w:t>Molin</w:t>
      </w:r>
      <w:proofErr w:type="spellEnd"/>
      <w:r>
        <w:rPr>
          <w:i/>
        </w:rPr>
        <w:t>. Popolazione, famiglia e società in età moderna</w:t>
      </w:r>
      <w:r>
        <w:t xml:space="preserve">, Bari, </w:t>
      </w:r>
      <w:proofErr w:type="spellStart"/>
      <w:r>
        <w:t>Cacucci</w:t>
      </w:r>
      <w:proofErr w:type="spellEnd"/>
      <w:r>
        <w:t>, 2017, vol. I, pp. 193-209.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t>«Per smascherare l’ascoso veleno». Religione, eresia e censura in una rivista catanese dell’Ottocento</w:t>
      </w:r>
      <w:r>
        <w:t xml:space="preserve">, in A. Tortora, C. </w:t>
      </w:r>
      <w:proofErr w:type="spellStart"/>
      <w:r>
        <w:t>Azzara</w:t>
      </w:r>
      <w:proofErr w:type="spellEnd"/>
      <w:r>
        <w:t xml:space="preserve"> (a cura di), </w:t>
      </w:r>
      <w:r>
        <w:rPr>
          <w:i/>
        </w:rPr>
        <w:t>“Non conformismo religioso” nel Mezzogiorno d’Italia dal Medioevo all’età contemporanea</w:t>
      </w:r>
      <w:r>
        <w:t xml:space="preserve">, Atti del 4° Incontro di studi sul </w:t>
      </w:r>
      <w:r>
        <w:rPr>
          <w:i/>
        </w:rPr>
        <w:t>Valdismo Mediterraneo</w:t>
      </w:r>
      <w:r>
        <w:t xml:space="preserve"> - </w:t>
      </w:r>
      <w:proofErr w:type="spellStart"/>
      <w:r>
        <w:t>Monteleone</w:t>
      </w:r>
      <w:proofErr w:type="spellEnd"/>
      <w:r>
        <w:t xml:space="preserve"> di Puglia, 9-10 giugno 2017, Avellino, Terebinto, 2018, pp. 99-111.</w:t>
      </w:r>
    </w:p>
    <w:p w:rsidR="00C52B07" w:rsidRDefault="00C52B07" w:rsidP="00C52B07">
      <w:pPr>
        <w:pStyle w:val="Puntoelenco"/>
        <w:ind w:left="357" w:hanging="357"/>
      </w:pPr>
      <w:r>
        <w:rPr>
          <w:i/>
        </w:rPr>
        <w:lastRenderedPageBreak/>
        <w:t>L’oro, il fuoco e la forca</w:t>
      </w:r>
      <w:r>
        <w:t xml:space="preserve">, in G. Barone (a cura di), </w:t>
      </w:r>
      <w:r>
        <w:rPr>
          <w:i/>
        </w:rPr>
        <w:t>Storia mondiale della Sicilia</w:t>
      </w:r>
      <w:r>
        <w:t xml:space="preserve">, </w:t>
      </w:r>
      <w:proofErr w:type="spellStart"/>
      <w:r>
        <w:t>Roma-Bari</w:t>
      </w:r>
      <w:proofErr w:type="spellEnd"/>
      <w:r>
        <w:t>, Laterza, 2018, pp. 227-230.</w:t>
      </w:r>
    </w:p>
    <w:p w:rsidR="00C52B07" w:rsidRDefault="00C52B07" w:rsidP="00C52B07">
      <w:pPr>
        <w:pStyle w:val="Puntoelenco"/>
      </w:pPr>
      <w:r>
        <w:rPr>
          <w:i/>
        </w:rPr>
        <w:t>Immaginando la Sicilia. Il “</w:t>
      </w:r>
      <w:proofErr w:type="spellStart"/>
      <w:r>
        <w:rPr>
          <w:i/>
        </w:rPr>
        <w:t>Grand</w:t>
      </w:r>
      <w:proofErr w:type="spellEnd"/>
      <w:r>
        <w:rPr>
          <w:i/>
        </w:rPr>
        <w:t xml:space="preserve"> Tour” di Priscilla </w:t>
      </w:r>
      <w:proofErr w:type="spellStart"/>
      <w:r>
        <w:rPr>
          <w:i/>
        </w:rPr>
        <w:t>Wakefield</w:t>
      </w:r>
      <w:proofErr w:type="spellEnd"/>
      <w:r>
        <w:rPr>
          <w:i/>
        </w:rPr>
        <w:t xml:space="preserve"> (1802)</w:t>
      </w:r>
      <w:r w:rsidR="004A34D2">
        <w:t>, in</w:t>
      </w:r>
      <w:r>
        <w:t xml:space="preserve"> M. Albana, C. </w:t>
      </w:r>
      <w:proofErr w:type="spellStart"/>
      <w:r>
        <w:t>Soraci</w:t>
      </w:r>
      <w:proofErr w:type="spellEnd"/>
      <w:r>
        <w:t xml:space="preserve"> (a cura di), </w:t>
      </w:r>
      <w:proofErr w:type="spellStart"/>
      <w:r>
        <w:rPr>
          <w:i/>
        </w:rPr>
        <w:t>Amicitia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plurimas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continet</w:t>
      </w:r>
      <w:proofErr w:type="spellEnd"/>
      <w:r>
        <w:rPr>
          <w:i/>
        </w:rPr>
        <w:t xml:space="preserve">. Omaggio a </w:t>
      </w:r>
      <w:proofErr w:type="spellStart"/>
      <w:r>
        <w:rPr>
          <w:i/>
        </w:rPr>
        <w:t>Febronia</w:t>
      </w:r>
      <w:proofErr w:type="spellEnd"/>
      <w:r>
        <w:rPr>
          <w:i/>
        </w:rPr>
        <w:t xml:space="preserve"> Elia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2018, pp. 223-241.</w:t>
      </w:r>
    </w:p>
    <w:p w:rsidR="00A65DC5" w:rsidRDefault="00A65DC5" w:rsidP="00C52B07">
      <w:pPr>
        <w:pStyle w:val="Puntoelenco"/>
      </w:pPr>
      <w:r>
        <w:rPr>
          <w:i/>
        </w:rPr>
        <w:t xml:space="preserve">«Una curiosissima opera politica». Michele Amari legge </w:t>
      </w:r>
      <w:proofErr w:type="spellStart"/>
      <w:r>
        <w:rPr>
          <w:i/>
        </w:rPr>
        <w:t>Ibn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Zafer</w:t>
      </w:r>
      <w:proofErr w:type="spellEnd"/>
      <w:r>
        <w:t>, in «Nuova Rivista Storica», a. CIII, fasc. III, settembre-dicembre 2019, pp. 917-942.</w:t>
      </w:r>
    </w:p>
    <w:p w:rsidR="00571BB2" w:rsidRDefault="00571BB2" w:rsidP="00571BB2">
      <w:pPr>
        <w:pStyle w:val="Puntoelenco"/>
      </w:pPr>
      <w:r w:rsidRPr="00571BB2">
        <w:rPr>
          <w:i/>
        </w:rPr>
        <w:t xml:space="preserve">«In ragione de’ progrediti </w:t>
      </w:r>
      <w:proofErr w:type="spellStart"/>
      <w:r w:rsidRPr="00571BB2">
        <w:rPr>
          <w:i/>
        </w:rPr>
        <w:t>studii</w:t>
      </w:r>
      <w:proofErr w:type="spellEnd"/>
      <w:r w:rsidRPr="00571BB2">
        <w:rPr>
          <w:i/>
        </w:rPr>
        <w:t xml:space="preserve"> dell’archeologia, della storia, e del bello nelle arti». Beni archeologici, belle arti e formazione culturale nella normativa del Meridione d’Italia (1806-1859)</w:t>
      </w:r>
      <w:r>
        <w:t xml:space="preserve">, in F. </w:t>
      </w:r>
      <w:proofErr w:type="spellStart"/>
      <w:r>
        <w:t>Paterniti</w:t>
      </w:r>
      <w:proofErr w:type="spellEnd"/>
      <w:r>
        <w:t xml:space="preserve">, D. </w:t>
      </w:r>
      <w:proofErr w:type="spellStart"/>
      <w:r>
        <w:t>Privitera</w:t>
      </w:r>
      <w:proofErr w:type="spellEnd"/>
      <w:r>
        <w:t xml:space="preserve"> (a cura di), </w:t>
      </w:r>
      <w:r w:rsidRPr="00571BB2">
        <w:rPr>
          <w:i/>
        </w:rPr>
        <w:t>La complessità della cultura. Flussi, identità, valori</w:t>
      </w:r>
      <w:r>
        <w:t xml:space="preserve">, Milano, </w:t>
      </w:r>
      <w:proofErr w:type="spellStart"/>
      <w:r>
        <w:t>FrancoAngeli</w:t>
      </w:r>
      <w:proofErr w:type="spellEnd"/>
      <w:r>
        <w:t>, 2019, pp. 253-265.</w:t>
      </w:r>
    </w:p>
    <w:p w:rsidR="00292AA7" w:rsidRDefault="00292AA7" w:rsidP="00571BB2">
      <w:pPr>
        <w:pStyle w:val="Puntoelenco"/>
      </w:pPr>
      <w:r>
        <w:t xml:space="preserve">(a cura di), </w:t>
      </w:r>
      <w:r>
        <w:rPr>
          <w:i/>
        </w:rPr>
        <w:t>Il valore e la virtù. Studi in onore di Silvana Raffaele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2019.</w:t>
      </w:r>
    </w:p>
    <w:p w:rsidR="00292AA7" w:rsidRDefault="00292AA7" w:rsidP="00292AA7">
      <w:pPr>
        <w:pStyle w:val="Puntoelenco"/>
      </w:pPr>
      <w:r w:rsidRPr="00292AA7">
        <w:rPr>
          <w:i/>
        </w:rPr>
        <w:t>Premessa</w:t>
      </w:r>
      <w:r>
        <w:t>, in</w:t>
      </w:r>
      <w:r w:rsidR="00B9327F">
        <w:t xml:space="preserve"> E. Frasca (a cura di),</w:t>
      </w:r>
      <w:r>
        <w:t xml:space="preserve"> </w:t>
      </w:r>
      <w:r>
        <w:rPr>
          <w:i/>
        </w:rPr>
        <w:t>Il valore e la virtù. Studi in onore di Silvana Raffaele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2019, pp. 9-11.</w:t>
      </w:r>
    </w:p>
    <w:p w:rsidR="00292AA7" w:rsidRDefault="00292AA7" w:rsidP="00292AA7">
      <w:pPr>
        <w:pStyle w:val="Puntoelenco"/>
      </w:pPr>
      <w:r>
        <w:rPr>
          <w:i/>
        </w:rPr>
        <w:t>Confraternite e corporazioni nel Meridione d’Italia di età moderna</w:t>
      </w:r>
      <w:r>
        <w:t>, in</w:t>
      </w:r>
      <w:r w:rsidR="00B9327F">
        <w:t xml:space="preserve"> E. Frasca (a cura di),</w:t>
      </w:r>
      <w:r>
        <w:t xml:space="preserve"> </w:t>
      </w:r>
      <w:r>
        <w:rPr>
          <w:i/>
        </w:rPr>
        <w:t>Il valore e la virtù. Studi in onore di Silvana Raffaele</w:t>
      </w:r>
      <w:r>
        <w:t xml:space="preserve">, </w:t>
      </w:r>
      <w:proofErr w:type="spellStart"/>
      <w:r>
        <w:t>Acireale-Roma</w:t>
      </w:r>
      <w:proofErr w:type="spellEnd"/>
      <w:r>
        <w:t xml:space="preserve">, </w:t>
      </w:r>
      <w:proofErr w:type="spellStart"/>
      <w:r>
        <w:t>Bonanno</w:t>
      </w:r>
      <w:proofErr w:type="spellEnd"/>
      <w:r>
        <w:t>, 2019, pp. 109-119.</w:t>
      </w:r>
    </w:p>
    <w:p w:rsidR="00A92D94" w:rsidRDefault="00A92D94" w:rsidP="00292AA7">
      <w:pPr>
        <w:pStyle w:val="Puntoelenco"/>
      </w:pPr>
      <w:r>
        <w:t xml:space="preserve">E. Frasca </w:t>
      </w:r>
      <w:proofErr w:type="spellStart"/>
      <w:r>
        <w:t>et</w:t>
      </w:r>
      <w:proofErr w:type="spellEnd"/>
      <w:r>
        <w:t xml:space="preserve"> al., </w:t>
      </w:r>
      <w:r>
        <w:rPr>
          <w:i/>
        </w:rPr>
        <w:t>Origine e progressi nelle sindromi neuro cutanee</w:t>
      </w:r>
      <w:r>
        <w:t xml:space="preserve">, </w:t>
      </w:r>
      <w:r w:rsidR="00B63BC6">
        <w:t xml:space="preserve">in E. Frasca (a cura di), </w:t>
      </w:r>
      <w:r w:rsidR="00B63BC6">
        <w:rPr>
          <w:i/>
        </w:rPr>
        <w:t>Il valore e la virtù. Studi in onore di Silvana Raffaele</w:t>
      </w:r>
      <w:r w:rsidR="00B63BC6">
        <w:t xml:space="preserve">, </w:t>
      </w:r>
      <w:proofErr w:type="spellStart"/>
      <w:r w:rsidR="00B63BC6">
        <w:t>Acireale-Roma</w:t>
      </w:r>
      <w:proofErr w:type="spellEnd"/>
      <w:r w:rsidR="00B63BC6">
        <w:t xml:space="preserve">, </w:t>
      </w:r>
      <w:proofErr w:type="spellStart"/>
      <w:r w:rsidR="00B63BC6">
        <w:t>Bonanno</w:t>
      </w:r>
      <w:proofErr w:type="spellEnd"/>
      <w:r w:rsidR="00B63BC6">
        <w:t xml:space="preserve">, 2019, </w:t>
      </w:r>
      <w:r>
        <w:t>pp. 329-338 (in particolare, pp. 335-338).</w:t>
      </w:r>
    </w:p>
    <w:p w:rsidR="00154247" w:rsidRDefault="00154247" w:rsidP="00154247">
      <w:pPr>
        <w:pStyle w:val="Puntoelenco"/>
      </w:pPr>
      <w:r w:rsidRPr="00154247">
        <w:rPr>
          <w:i/>
        </w:rPr>
        <w:t>La peste in Sicilia in età moderna, tra scienza e devozione</w:t>
      </w:r>
      <w:r>
        <w:t>, in “Annali della Facoltà di Scienze della Formazione”, vol. 19, 2020, pp. 103-113, insieme a M. Costa.</w:t>
      </w:r>
    </w:p>
    <w:p w:rsidR="00C52B07" w:rsidRDefault="00C52B07" w:rsidP="00C52B07">
      <w:pPr>
        <w:pStyle w:val="Puntoelenco"/>
      </w:pPr>
      <w:r w:rsidRPr="00292AA7">
        <w:rPr>
          <w:i/>
        </w:rPr>
        <w:t xml:space="preserve">A “New mania”. The Carboneria: </w:t>
      </w:r>
      <w:proofErr w:type="spellStart"/>
      <w:r w:rsidRPr="00292AA7">
        <w:rPr>
          <w:i/>
        </w:rPr>
        <w:t>conflicts</w:t>
      </w:r>
      <w:proofErr w:type="spellEnd"/>
      <w:r w:rsidRPr="00292AA7">
        <w:rPr>
          <w:i/>
        </w:rPr>
        <w:t xml:space="preserve"> and </w:t>
      </w:r>
      <w:proofErr w:type="spellStart"/>
      <w:r w:rsidRPr="00292AA7">
        <w:rPr>
          <w:i/>
        </w:rPr>
        <w:t>ambivalences</w:t>
      </w:r>
      <w:proofErr w:type="spellEnd"/>
      <w:r w:rsidRPr="00292AA7">
        <w:rPr>
          <w:i/>
        </w:rPr>
        <w:t xml:space="preserve"> (</w:t>
      </w:r>
      <w:proofErr w:type="spellStart"/>
      <w:r w:rsidRPr="00292AA7">
        <w:rPr>
          <w:i/>
        </w:rPr>
        <w:t>Sicily</w:t>
      </w:r>
      <w:proofErr w:type="spellEnd"/>
      <w:r w:rsidRPr="00292AA7">
        <w:rPr>
          <w:i/>
        </w:rPr>
        <w:t>, 1820-1830)</w:t>
      </w:r>
      <w:r>
        <w:t xml:space="preserve">, Atti della International </w:t>
      </w:r>
      <w:proofErr w:type="spellStart"/>
      <w:r>
        <w:t>Conference</w:t>
      </w:r>
      <w:proofErr w:type="spellEnd"/>
      <w:r>
        <w:t xml:space="preserve"> </w:t>
      </w:r>
      <w:proofErr w:type="spellStart"/>
      <w:r w:rsidRPr="00292AA7">
        <w:rPr>
          <w:i/>
        </w:rPr>
        <w:t>Understanding</w:t>
      </w:r>
      <w:proofErr w:type="spellEnd"/>
      <w:r w:rsidRPr="00292AA7">
        <w:rPr>
          <w:i/>
        </w:rPr>
        <w:t xml:space="preserve"> Social </w:t>
      </w:r>
      <w:proofErr w:type="spellStart"/>
      <w:r w:rsidRPr="00292AA7">
        <w:rPr>
          <w:i/>
        </w:rPr>
        <w:t>Conflict</w:t>
      </w:r>
      <w:proofErr w:type="spellEnd"/>
      <w:r w:rsidRPr="00292AA7">
        <w:rPr>
          <w:i/>
        </w:rPr>
        <w:t xml:space="preserve">. The </w:t>
      </w:r>
      <w:proofErr w:type="spellStart"/>
      <w:r w:rsidRPr="00292AA7">
        <w:rPr>
          <w:i/>
        </w:rPr>
        <w:t>Relationship</w:t>
      </w:r>
      <w:proofErr w:type="spellEnd"/>
      <w:r w:rsidRPr="00292AA7">
        <w:rPr>
          <w:i/>
        </w:rPr>
        <w:t xml:space="preserve"> </w:t>
      </w:r>
      <w:proofErr w:type="spellStart"/>
      <w:r w:rsidRPr="00292AA7">
        <w:rPr>
          <w:i/>
        </w:rPr>
        <w:t>between</w:t>
      </w:r>
      <w:proofErr w:type="spellEnd"/>
      <w:r w:rsidRPr="00292AA7">
        <w:rPr>
          <w:i/>
        </w:rPr>
        <w:t xml:space="preserve"> </w:t>
      </w:r>
      <w:proofErr w:type="spellStart"/>
      <w:r w:rsidRPr="00292AA7">
        <w:rPr>
          <w:i/>
        </w:rPr>
        <w:t>Sociology</w:t>
      </w:r>
      <w:proofErr w:type="spellEnd"/>
      <w:r w:rsidRPr="00292AA7">
        <w:rPr>
          <w:i/>
        </w:rPr>
        <w:t xml:space="preserve"> and </w:t>
      </w:r>
      <w:proofErr w:type="spellStart"/>
      <w:r w:rsidRPr="00292AA7">
        <w:rPr>
          <w:i/>
        </w:rPr>
        <w:t>History</w:t>
      </w:r>
      <w:proofErr w:type="spellEnd"/>
      <w:r>
        <w:t>, Catania, 14-15 dicembre</w:t>
      </w:r>
      <w:r w:rsidR="003E04C7">
        <w:t xml:space="preserve"> 2016, Milano, </w:t>
      </w:r>
      <w:proofErr w:type="spellStart"/>
      <w:r w:rsidR="003E04C7">
        <w:t>Mimesis</w:t>
      </w:r>
      <w:proofErr w:type="spellEnd"/>
      <w:r w:rsidR="003E04C7">
        <w:t>, 2020, pp. 141-153.</w:t>
      </w:r>
    </w:p>
    <w:p w:rsidR="00C52B07" w:rsidRDefault="00C52B07" w:rsidP="00C52B07">
      <w:pPr>
        <w:pStyle w:val="Puntoelenco"/>
        <w:numPr>
          <w:ilvl w:val="0"/>
          <w:numId w:val="0"/>
        </w:numPr>
        <w:tabs>
          <w:tab w:val="left" w:pos="708"/>
        </w:tabs>
      </w:pPr>
    </w:p>
    <w:p w:rsidR="00F71151" w:rsidRDefault="00F71151"/>
    <w:sectPr w:rsidR="00F71151" w:rsidSect="006D34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isse ITC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19D3"/>
    <w:multiLevelType w:val="singleLevel"/>
    <w:tmpl w:val="F258BDCA"/>
    <w:lvl w:ilvl="0">
      <w:start w:val="1"/>
      <w:numFmt w:val="bullet"/>
      <w:pStyle w:val="Puntoelenco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Matisse ITC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B07"/>
    <w:rsid w:val="00094EDB"/>
    <w:rsid w:val="00110719"/>
    <w:rsid w:val="00154247"/>
    <w:rsid w:val="00275D0C"/>
    <w:rsid w:val="00292AA7"/>
    <w:rsid w:val="003E04C7"/>
    <w:rsid w:val="00486483"/>
    <w:rsid w:val="004A34D2"/>
    <w:rsid w:val="004E6EEA"/>
    <w:rsid w:val="00571BB2"/>
    <w:rsid w:val="006D34CF"/>
    <w:rsid w:val="006E61ED"/>
    <w:rsid w:val="00734D1F"/>
    <w:rsid w:val="007E2473"/>
    <w:rsid w:val="0092064A"/>
    <w:rsid w:val="00A65DC5"/>
    <w:rsid w:val="00A83DB0"/>
    <w:rsid w:val="00A92D94"/>
    <w:rsid w:val="00AD4306"/>
    <w:rsid w:val="00B63BC6"/>
    <w:rsid w:val="00B9327F"/>
    <w:rsid w:val="00C52B07"/>
    <w:rsid w:val="00C76FDC"/>
    <w:rsid w:val="00CF0318"/>
    <w:rsid w:val="00DD72AB"/>
    <w:rsid w:val="00E54108"/>
    <w:rsid w:val="00F37974"/>
    <w:rsid w:val="00F7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4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autoRedefine/>
    <w:unhideWhenUsed/>
    <w:rsid w:val="00C52B07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1411</Words>
  <Characters>8047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2019-05-30T07:45:00Z</dcterms:created>
  <dcterms:modified xsi:type="dcterms:W3CDTF">2020-12-27T18:41:00Z</dcterms:modified>
</cp:coreProperties>
</file>