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FB" w:rsidRPr="00BC256F" w:rsidRDefault="00D261F5">
      <w:pPr>
        <w:rPr>
          <w:rFonts w:ascii="Arial Black" w:hAnsi="Arial Black" w:cs="Arial Black"/>
          <w:smallCaps/>
          <w:color w:val="333399"/>
          <w:sz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  <w:color w:val="222222"/>
          <w:sz w:val="20"/>
          <w:lang w:eastAsia="it-IT"/>
        </w:rPr>
        <w:drawing>
          <wp:inline distT="0" distB="0" distL="0" distR="0">
            <wp:extent cx="1466850" cy="314325"/>
            <wp:effectExtent l="19050" t="19050" r="19050" b="285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701FB" w:rsidRPr="00BC256F" w:rsidRDefault="00FC77EA">
      <w:pPr>
        <w:spacing w:line="360" w:lineRule="auto"/>
        <w:jc w:val="right"/>
        <w:rPr>
          <w:rFonts w:ascii="Arial Black" w:eastAsia="Arial Black" w:hAnsi="Arial Black" w:cs="Arial Black"/>
          <w:smallCaps/>
          <w:color w:val="333399"/>
          <w:sz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C256F">
        <w:rPr>
          <w:rFonts w:ascii="Arial Black" w:hAnsi="Arial Black" w:cs="Arial Black"/>
          <w:smallCaps/>
          <w:color w:val="333399"/>
          <w:sz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Laboratorio</w:t>
      </w:r>
      <w:r w:rsidRPr="00BC256F">
        <w:rPr>
          <w:rFonts w:ascii="Arial Black" w:eastAsia="Arial Black" w:hAnsi="Arial Black" w:cs="Arial Black"/>
          <w:smallCaps/>
          <w:color w:val="333399"/>
          <w:sz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754D03" w:rsidRDefault="00754D03">
      <w:pPr>
        <w:spacing w:line="360" w:lineRule="auto"/>
        <w:jc w:val="right"/>
        <w:rPr>
          <w:rFonts w:ascii="Arial Black" w:eastAsia="Arial Black" w:hAnsi="Arial Black" w:cs="Arial Black"/>
          <w:smallCaps/>
          <w:color w:val="333399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54D03">
        <w:rPr>
          <w:rFonts w:ascii="Arial Black" w:eastAsia="Arial Black" w:hAnsi="Arial Black" w:cs="Arial Black"/>
          <w:smallCaps/>
          <w:color w:val="333399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Nuove pratiche ludico-motorie per la scuola dell'infanzia. </w:t>
      </w:r>
    </w:p>
    <w:p w:rsidR="00D261F5" w:rsidRPr="00BC256F" w:rsidRDefault="00754D03">
      <w:pPr>
        <w:spacing w:line="360" w:lineRule="auto"/>
        <w:jc w:val="right"/>
        <w:rPr>
          <w:rFonts w:ascii="Arial Black" w:hAnsi="Arial Black" w:cs="Arial Black"/>
          <w:smallCaps/>
          <w:color w:val="333399"/>
          <w:sz w:val="1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54D03">
        <w:rPr>
          <w:rFonts w:ascii="Arial Black" w:eastAsia="Arial Black" w:hAnsi="Arial Black" w:cs="Arial Black"/>
          <w:smallCaps/>
          <w:color w:val="333399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Il metodo Motorio-Narrativo e le Unità Didattico Motorie</w:t>
      </w:r>
    </w:p>
    <w:p w:rsidR="00754D03" w:rsidRDefault="00754D03" w:rsidP="00754D03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Il mondo dell’infanzia necessita, oggi più che mai, di pratiche didattiche che favoriscano una crescita armoniosa ruotante attorno alla dimensione esistenziale del soggetto.</w:t>
      </w:r>
      <w:r w:rsidR="00FE4812">
        <w:rPr>
          <w:rFonts w:eastAsia="Calibri"/>
          <w:lang w:eastAsia="en-US"/>
        </w:rPr>
        <w:t xml:space="preserve"> Pertanto è indispensabile che si mettano in atto dinamiche che coniughino </w:t>
      </w:r>
      <w:r w:rsidR="00423BA8">
        <w:rPr>
          <w:rFonts w:eastAsia="Calibri"/>
          <w:lang w:eastAsia="en-US"/>
        </w:rPr>
        <w:t>l’universo</w:t>
      </w:r>
      <w:r w:rsidR="00FE4812">
        <w:rPr>
          <w:rFonts w:eastAsia="Calibri"/>
          <w:lang w:eastAsia="en-US"/>
        </w:rPr>
        <w:t xml:space="preserve"> ludico con quello motorio-narrativo.</w:t>
      </w:r>
    </w:p>
    <w:p w:rsidR="00FE4812" w:rsidRPr="00754D03" w:rsidRDefault="00FE4812" w:rsidP="00754D03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Per tale motivo è stato ideato il </w:t>
      </w:r>
      <w:r w:rsidRPr="00FE4812">
        <w:rPr>
          <w:rFonts w:eastAsia="Calibri"/>
          <w:b/>
          <w:lang w:eastAsia="en-US"/>
        </w:rPr>
        <w:t>Metodo Motorio-Narrativo</w:t>
      </w:r>
      <w:r>
        <w:rPr>
          <w:rFonts w:eastAsia="Calibri"/>
          <w:lang w:eastAsia="en-US"/>
        </w:rPr>
        <w:t>.</w:t>
      </w:r>
    </w:p>
    <w:p w:rsidR="00754D03" w:rsidRPr="00754D03" w:rsidRDefault="00754D03" w:rsidP="00754D03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754D03">
        <w:rPr>
          <w:rFonts w:eastAsia="Calibri"/>
          <w:lang w:eastAsia="en-US"/>
        </w:rPr>
        <w:t>Il metodo motorio-narrativo nasce dalla convinzion</w:t>
      </w:r>
      <w:r w:rsidR="00FE4812">
        <w:rPr>
          <w:rFonts w:eastAsia="Calibri"/>
          <w:lang w:eastAsia="en-US"/>
        </w:rPr>
        <w:t>e del Prof. Gaetano Panebianco</w:t>
      </w:r>
      <w:r w:rsidRPr="00754D03">
        <w:rPr>
          <w:rFonts w:eastAsia="Calibri"/>
          <w:lang w:eastAsia="en-US"/>
        </w:rPr>
        <w:t xml:space="preserve"> che l’attività motoria di base vada praticata conciliandola con la visione del mondo del fanciullo.</w:t>
      </w:r>
    </w:p>
    <w:p w:rsidR="00754D03" w:rsidRPr="00754D03" w:rsidRDefault="00754D03" w:rsidP="00754D03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754D03">
        <w:rPr>
          <w:rFonts w:eastAsia="Calibri"/>
          <w:lang w:eastAsia="en-US"/>
        </w:rPr>
        <w:t>Mission primaria quella di favorire e armonizzare il movimento del bambino in sinergia con tutte le sue straordinarie peculiarità quali l’immaginazione, la fantasia, la musicalità, la gestualità, la spontaneità e l’innat</w:t>
      </w:r>
      <w:r w:rsidR="00423BA8">
        <w:rPr>
          <w:rFonts w:eastAsia="Calibri"/>
          <w:lang w:eastAsia="en-US"/>
        </w:rPr>
        <w:t>a propensione al gioco e alla felicità</w:t>
      </w:r>
      <w:r w:rsidRPr="00754D03">
        <w:rPr>
          <w:rFonts w:eastAsia="Calibri"/>
          <w:lang w:eastAsia="en-US"/>
        </w:rPr>
        <w:t xml:space="preserve">. Non più fanciullo somma di singole esperienze ma universo complesso e diversamente ricco di molteplici funzioni e abilità (motoria, cognitiva, sociale, logico-matematica, linguistica, musicale). </w:t>
      </w:r>
    </w:p>
    <w:p w:rsidR="00754D03" w:rsidRPr="00754D03" w:rsidRDefault="00754D03" w:rsidP="00754D03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754D03">
        <w:rPr>
          <w:rFonts w:eastAsia="Calibri"/>
          <w:lang w:eastAsia="en-US"/>
        </w:rPr>
        <w:t>Per ottenere tutto questo l’Autore ha ideato un metodo che si articola in Unità Didattico Motorie (UDM) che coniugano l’universo della motricità con la narrazione, la musica, il linguaggio</w:t>
      </w:r>
      <w:r w:rsidR="00D479BF">
        <w:rPr>
          <w:rFonts w:eastAsia="Calibri"/>
          <w:lang w:eastAsia="en-US"/>
        </w:rPr>
        <w:t>, il gioco</w:t>
      </w:r>
      <w:r w:rsidRPr="00754D03">
        <w:rPr>
          <w:rFonts w:eastAsia="Calibri"/>
          <w:lang w:eastAsia="en-US"/>
        </w:rPr>
        <w:t xml:space="preserve"> e soprattutto l’immaginazione. </w:t>
      </w:r>
    </w:p>
    <w:p w:rsidR="00754D03" w:rsidRPr="00754D03" w:rsidRDefault="00754D03" w:rsidP="00754D03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754D03">
        <w:rPr>
          <w:rFonts w:eastAsia="Calibri"/>
          <w:lang w:eastAsia="en-US"/>
        </w:rPr>
        <w:t xml:space="preserve">Ogni UDM viene inserita in un contesto narrativo ideale per i protagonisti del meraviglioso mondo dell’infanzia che giocano e vivono immersi tra i colori della fantasia e le avventure delle prime esperienze. </w:t>
      </w:r>
    </w:p>
    <w:p w:rsidR="005701FB" w:rsidRDefault="005701FB">
      <w:pPr>
        <w:jc w:val="both"/>
      </w:pPr>
    </w:p>
    <w:p w:rsidR="005701FB" w:rsidRDefault="00FC77EA">
      <w:pPr>
        <w:spacing w:line="360" w:lineRule="auto"/>
        <w:jc w:val="both"/>
        <w:rPr>
          <w:rFonts w:ascii="Arial Black" w:hAnsi="Arial Black" w:cs="Arial Black"/>
          <w:color w:val="333399"/>
        </w:rPr>
      </w:pPr>
      <w:r>
        <w:rPr>
          <w:rFonts w:ascii="Arial Black" w:hAnsi="Arial Black" w:cs="Arial Black"/>
          <w:color w:val="333399"/>
        </w:rPr>
        <w:t>Obiettivi</w:t>
      </w:r>
    </w:p>
    <w:p w:rsidR="00754D03" w:rsidRPr="00754D03" w:rsidRDefault="00754D03" w:rsidP="00754D03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jc w:val="both"/>
      </w:pPr>
      <w:r w:rsidRPr="00754D03">
        <w:t>favorire l’acquisizione di schemi motori e posturali, abilità motorie, capacità senso/percettive, coordinative e condizionali;</w:t>
      </w:r>
    </w:p>
    <w:p w:rsidR="00754D03" w:rsidRPr="00754D03" w:rsidRDefault="00754D03" w:rsidP="00754D03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jc w:val="both"/>
      </w:pPr>
      <w:r w:rsidRPr="00754D03">
        <w:t>offrire ai bambini momenti di confronto e di gioco con i coetanei per lo sviluppo della socialità;</w:t>
      </w:r>
    </w:p>
    <w:p w:rsidR="00754D03" w:rsidRPr="00754D03" w:rsidRDefault="00754D03" w:rsidP="00754D03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jc w:val="both"/>
      </w:pPr>
      <w:r w:rsidRPr="00754D03">
        <w:t>promuovere un’azione educativa e culturale della pratica motoria polivalente e multilaterale attraverso una metodologia ludico-polisportiva;</w:t>
      </w:r>
    </w:p>
    <w:p w:rsidR="00754D03" w:rsidRPr="00754D03" w:rsidRDefault="00754D03" w:rsidP="00754D03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jc w:val="both"/>
      </w:pPr>
      <w:r w:rsidRPr="00754D03">
        <w:t xml:space="preserve">far assaporare il piacere del gioco e la ludicità dell’attività fisico-motoria attraverso percorsi contestualizzati in continuità con la didattica scolastica; </w:t>
      </w:r>
    </w:p>
    <w:p w:rsidR="00754D03" w:rsidRPr="00754D03" w:rsidRDefault="00754D03" w:rsidP="00754D03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jc w:val="both"/>
      </w:pPr>
      <w:r w:rsidRPr="00754D03">
        <w:lastRenderedPageBreak/>
        <w:t>favorire lo sviluppo delle abilità motorie parallelamente alle abilità cognitive (attenzione, concentrazione, memoria fonologica e procedurale, abilità metafonologiche, rapporto tra funzioni visuo-percettive e motorie, abilità prassiche);</w:t>
      </w:r>
    </w:p>
    <w:p w:rsidR="00754D03" w:rsidRPr="00754D03" w:rsidRDefault="00754D03" w:rsidP="00754D03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jc w:val="both"/>
      </w:pPr>
      <w:r w:rsidRPr="00754D03">
        <w:t>attuare strategie inclusive a favore di soggetti con disturbi specifici di apprendimento (DSA), bisogni educativi speciali (BES), funzionamento intellettivo limite (FIL), deficit del linguaggio (DL), dell’attenzione e dell’iperattività (ADHD), delle abilità non verbali (SNV) e della coordinazione motoria;</w:t>
      </w:r>
    </w:p>
    <w:p w:rsidR="00754D03" w:rsidRPr="00754D03" w:rsidRDefault="00754D03" w:rsidP="00754D03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jc w:val="both"/>
      </w:pPr>
      <w:r w:rsidRPr="00754D03">
        <w:t>promuovere pratiche di convivenza sociale quali la condivisione degli spazi, la gioia di stare insieme, il rispetto dei turni di conversazione e di intervento, la capacità di ascolto, il rispetto delle regole e la gestione delle proprie emozioni e delle proprie energie.</w:t>
      </w:r>
    </w:p>
    <w:p w:rsidR="005701FB" w:rsidRDefault="00FC77EA">
      <w:pPr>
        <w:spacing w:line="360" w:lineRule="auto"/>
        <w:jc w:val="both"/>
        <w:rPr>
          <w:rFonts w:ascii="Arial Black" w:hAnsi="Arial Black" w:cs="Arial Black"/>
          <w:color w:val="333399"/>
        </w:rPr>
      </w:pPr>
      <w:r>
        <w:rPr>
          <w:rFonts w:ascii="Arial Black" w:hAnsi="Arial Black" w:cs="Arial Black"/>
          <w:color w:val="333399"/>
        </w:rPr>
        <w:t>Contenuti</w:t>
      </w:r>
    </w:p>
    <w:p w:rsidR="00754D03" w:rsidRDefault="00754D03" w:rsidP="00754D03">
      <w:pPr>
        <w:spacing w:line="360" w:lineRule="auto"/>
        <w:jc w:val="both"/>
      </w:pPr>
      <w:r w:rsidRPr="00754D03">
        <w:t>I</w:t>
      </w:r>
      <w:r w:rsidR="002F3BD9">
        <w:t xml:space="preserve"> prodotti</w:t>
      </w:r>
      <w:r w:rsidRPr="00754D03">
        <w:t xml:space="preserve"> </w:t>
      </w:r>
      <w:r w:rsidR="00D479BF">
        <w:t>che contempla</w:t>
      </w:r>
      <w:r w:rsidR="002F3BD9">
        <w:t>no</w:t>
      </w:r>
      <w:r w:rsidR="00D479BF">
        <w:t xml:space="preserve"> le UDM dedicate alla scuola dell’infanzia </w:t>
      </w:r>
      <w:r w:rsidR="002F3BD9">
        <w:t>sono</w:t>
      </w:r>
      <w:r w:rsidRPr="00754D03">
        <w:t xml:space="preserve"> </w:t>
      </w:r>
      <w:r w:rsidRPr="00754D03">
        <w:rPr>
          <w:b/>
          <w:i/>
        </w:rPr>
        <w:t>Primi Salti</w:t>
      </w:r>
      <w:r w:rsidR="002F3BD9">
        <w:rPr>
          <w:b/>
          <w:i/>
        </w:rPr>
        <w:t xml:space="preserve"> </w:t>
      </w:r>
      <w:r w:rsidR="002F3BD9" w:rsidRPr="002F3BD9">
        <w:t>e</w:t>
      </w:r>
      <w:r w:rsidR="002F3BD9">
        <w:rPr>
          <w:b/>
          <w:i/>
        </w:rPr>
        <w:t xml:space="preserve"> Prime Storie</w:t>
      </w:r>
      <w:r w:rsidR="00D479BF">
        <w:t>.</w:t>
      </w:r>
      <w:r w:rsidRPr="00754D03">
        <w:t xml:space="preserve"> R</w:t>
      </w:r>
      <w:r w:rsidR="00D479BF">
        <w:t>appresenta</w:t>
      </w:r>
      <w:r w:rsidR="002F3BD9">
        <w:t>no</w:t>
      </w:r>
      <w:r w:rsidRPr="00754D03">
        <w:t xml:space="preserve"> un’occasione unica per il bambino di vivere e sperimentare l’armonia del movimento in modo globale tramite percorsi motorio-narrativi che coinvolgono tutti quei campi semantici e sensoriali fondamentali che ruotano attorno alla</w:t>
      </w:r>
      <w:r w:rsidR="00D479BF">
        <w:t xml:space="preserve"> ludicità </w:t>
      </w:r>
      <w:r w:rsidRPr="00754D03">
        <w:t>e alla produzione del pensiero.</w:t>
      </w:r>
    </w:p>
    <w:p w:rsidR="00FE4812" w:rsidRPr="00754D03" w:rsidRDefault="00D479BF" w:rsidP="00754D03">
      <w:pPr>
        <w:spacing w:line="360" w:lineRule="auto"/>
        <w:jc w:val="both"/>
      </w:pPr>
      <w:r>
        <w:t xml:space="preserve">Tutte le UDM </w:t>
      </w:r>
      <w:r w:rsidR="00FE4812">
        <w:t xml:space="preserve">verranno presentate </w:t>
      </w:r>
      <w:r>
        <w:t>tramite slide in Power Point e v</w:t>
      </w:r>
      <w:r w:rsidR="00FE4812">
        <w:t>ideo. Saranno previsti anche momenti di simulazione di costruzione di percorsi ludico-motori</w:t>
      </w:r>
      <w:r w:rsidR="001A2FCC">
        <w:t xml:space="preserve"> con la pedagogista Dott.ssa Rosanna Palermo</w:t>
      </w:r>
      <w:r w:rsidR="00FE4812">
        <w:t>.</w:t>
      </w:r>
    </w:p>
    <w:p w:rsidR="005701FB" w:rsidRDefault="00FC77EA">
      <w:pPr>
        <w:spacing w:line="360" w:lineRule="auto"/>
        <w:jc w:val="both"/>
        <w:rPr>
          <w:rFonts w:ascii="Arial Black" w:hAnsi="Arial Black" w:cs="Arial Black"/>
          <w:color w:val="333399"/>
        </w:rPr>
      </w:pPr>
      <w:r>
        <w:rPr>
          <w:rFonts w:ascii="Arial Black" w:hAnsi="Arial Black" w:cs="Arial Black"/>
          <w:color w:val="333399"/>
        </w:rPr>
        <w:t>Destinatari</w:t>
      </w:r>
    </w:p>
    <w:p w:rsidR="005701FB" w:rsidRDefault="00FC77EA">
      <w:pPr>
        <w:spacing w:line="360" w:lineRule="auto"/>
        <w:jc w:val="both"/>
      </w:pPr>
      <w:r>
        <w:t>Laureandi, laureati e professionisti che operano nell’area dei processi educativi e formativi; massimo venti partecipanti.</w:t>
      </w:r>
    </w:p>
    <w:p w:rsidR="005701FB" w:rsidRDefault="00FC77EA">
      <w:pPr>
        <w:spacing w:line="360" w:lineRule="auto"/>
        <w:jc w:val="both"/>
        <w:rPr>
          <w:rFonts w:ascii="Arial Black" w:hAnsi="Arial Black" w:cs="Arial Black"/>
          <w:color w:val="333399"/>
        </w:rPr>
      </w:pPr>
      <w:r>
        <w:rPr>
          <w:rFonts w:ascii="Arial Black" w:hAnsi="Arial Black" w:cs="Arial Black"/>
          <w:color w:val="333399"/>
        </w:rPr>
        <w:t>Data</w:t>
      </w:r>
      <w:r>
        <w:rPr>
          <w:rFonts w:ascii="Arial Black" w:eastAsia="Arial Black" w:hAnsi="Arial Black" w:cs="Arial Black"/>
          <w:color w:val="333399"/>
        </w:rPr>
        <w:t xml:space="preserve"> </w:t>
      </w:r>
      <w:r>
        <w:rPr>
          <w:rFonts w:ascii="Arial Black" w:hAnsi="Arial Black" w:cs="Arial Black"/>
          <w:color w:val="333399"/>
        </w:rPr>
        <w:t>e</w:t>
      </w:r>
      <w:r>
        <w:rPr>
          <w:rFonts w:ascii="Arial Black" w:eastAsia="Arial Black" w:hAnsi="Arial Black" w:cs="Arial Black"/>
          <w:color w:val="333399"/>
        </w:rPr>
        <w:t xml:space="preserve"> </w:t>
      </w:r>
      <w:r>
        <w:rPr>
          <w:rFonts w:ascii="Arial Black" w:hAnsi="Arial Black" w:cs="Arial Black"/>
          <w:color w:val="333399"/>
        </w:rPr>
        <w:t>luogo</w:t>
      </w:r>
      <w:r>
        <w:rPr>
          <w:rFonts w:ascii="Arial Black" w:eastAsia="Arial Black" w:hAnsi="Arial Black" w:cs="Arial Black"/>
          <w:color w:val="333399"/>
        </w:rPr>
        <w:t xml:space="preserve"> </w:t>
      </w:r>
      <w:r>
        <w:rPr>
          <w:rFonts w:ascii="Arial Black" w:hAnsi="Arial Black" w:cs="Arial Black"/>
          <w:color w:val="333399"/>
        </w:rPr>
        <w:t>di</w:t>
      </w:r>
      <w:r>
        <w:rPr>
          <w:rFonts w:ascii="Arial Black" w:eastAsia="Arial Black" w:hAnsi="Arial Black" w:cs="Arial Black"/>
          <w:color w:val="333399"/>
        </w:rPr>
        <w:t xml:space="preserve"> </w:t>
      </w:r>
      <w:r>
        <w:rPr>
          <w:rFonts w:ascii="Arial Black" w:hAnsi="Arial Black" w:cs="Arial Black"/>
          <w:color w:val="333399"/>
        </w:rPr>
        <w:t>svolgimento</w:t>
      </w:r>
    </w:p>
    <w:p w:rsidR="005701FB" w:rsidRDefault="00FC77EA">
      <w:pPr>
        <w:spacing w:line="360" w:lineRule="auto"/>
        <w:jc w:val="both"/>
      </w:pPr>
      <w:r>
        <w:t xml:space="preserve">Il laboratorio avrà luogo </w:t>
      </w:r>
      <w:r w:rsidR="00FE4812">
        <w:rPr>
          <w:b/>
        </w:rPr>
        <w:t>il 30 e 31</w:t>
      </w:r>
      <w:r w:rsidR="00FE78E7" w:rsidRPr="00FE78E7">
        <w:rPr>
          <w:b/>
        </w:rPr>
        <w:t xml:space="preserve"> marzo 2016</w:t>
      </w:r>
      <w:r>
        <w:t xml:space="preserve">, dalle h 15.00 alle h 19.00, presso i locali delle “ Verginelle” Via Casa della Nutrizione (di fronte </w:t>
      </w:r>
      <w:r w:rsidR="002C2399">
        <w:t xml:space="preserve">ai Benedettini) – Catania aula </w:t>
      </w:r>
      <w:r w:rsidR="00EA0866">
        <w:t>2</w:t>
      </w:r>
    </w:p>
    <w:p w:rsidR="005701FB" w:rsidRPr="002C2399" w:rsidRDefault="00FC77EA" w:rsidP="002C2399">
      <w:pPr>
        <w:spacing w:line="360" w:lineRule="auto"/>
        <w:jc w:val="both"/>
      </w:pPr>
      <w:r>
        <w:t xml:space="preserve">Per informazioni e prenotazioni contattare </w:t>
      </w:r>
      <w:r w:rsidR="00FE4812">
        <w:t>gaetanopanebianco@hotmail.it.</w:t>
      </w:r>
      <w:r w:rsidR="00CE0BE9">
        <w:t xml:space="preserve"> </w:t>
      </w:r>
    </w:p>
    <w:p w:rsidR="005701FB" w:rsidRDefault="005701FB">
      <w:pPr>
        <w:jc w:val="right"/>
      </w:pPr>
    </w:p>
    <w:p w:rsidR="00CE0BE9" w:rsidRPr="002C2399" w:rsidRDefault="00CE0BE9">
      <w:pPr>
        <w:jc w:val="right"/>
      </w:pPr>
    </w:p>
    <w:p w:rsidR="005701FB" w:rsidRPr="002C2399" w:rsidRDefault="005701FB">
      <w:pPr>
        <w:jc w:val="right"/>
      </w:pPr>
    </w:p>
    <w:p w:rsidR="00FC77EA" w:rsidRDefault="00FE4812">
      <w:pPr>
        <w:ind w:left="5664"/>
      </w:pPr>
      <w:r>
        <w:t xml:space="preserve">             </w:t>
      </w:r>
      <w:r w:rsidR="002C2399" w:rsidRPr="002C2399">
        <w:t xml:space="preserve"> </w:t>
      </w:r>
      <w:r w:rsidR="002C2399">
        <w:rPr>
          <w:lang w:val="en-US"/>
        </w:rPr>
        <w:t>Dott.</w:t>
      </w:r>
      <w:r>
        <w:rPr>
          <w:lang w:val="en-US"/>
        </w:rPr>
        <w:t xml:space="preserve"> Gaetano Panebianco</w:t>
      </w:r>
    </w:p>
    <w:sectPr w:rsidR="00FC77EA" w:rsidSect="005701FB">
      <w:pgSz w:w="11906" w:h="16838"/>
      <w:pgMar w:top="1417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26C3DA3"/>
    <w:multiLevelType w:val="hybridMultilevel"/>
    <w:tmpl w:val="D0A873B2"/>
    <w:lvl w:ilvl="0" w:tplc="F3DA7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EE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4C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0E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6E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A3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4B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481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CF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9D43FD2"/>
    <w:multiLevelType w:val="hybridMultilevel"/>
    <w:tmpl w:val="48D69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F5"/>
    <w:rsid w:val="000C23E8"/>
    <w:rsid w:val="00110806"/>
    <w:rsid w:val="001A2FCC"/>
    <w:rsid w:val="002C2399"/>
    <w:rsid w:val="002F3BD9"/>
    <w:rsid w:val="00341EEC"/>
    <w:rsid w:val="003B37A5"/>
    <w:rsid w:val="003D3D72"/>
    <w:rsid w:val="003E2E5C"/>
    <w:rsid w:val="003E7D3C"/>
    <w:rsid w:val="00423BA8"/>
    <w:rsid w:val="004B0D55"/>
    <w:rsid w:val="004D7F8D"/>
    <w:rsid w:val="00542397"/>
    <w:rsid w:val="005701FB"/>
    <w:rsid w:val="0069441B"/>
    <w:rsid w:val="00754D03"/>
    <w:rsid w:val="00836C3A"/>
    <w:rsid w:val="008A614D"/>
    <w:rsid w:val="008B6CDD"/>
    <w:rsid w:val="00903AEA"/>
    <w:rsid w:val="00A3015E"/>
    <w:rsid w:val="00B32705"/>
    <w:rsid w:val="00B37C8F"/>
    <w:rsid w:val="00BC256F"/>
    <w:rsid w:val="00CE0BE9"/>
    <w:rsid w:val="00D261F5"/>
    <w:rsid w:val="00D425A7"/>
    <w:rsid w:val="00D479BF"/>
    <w:rsid w:val="00DF247D"/>
    <w:rsid w:val="00EA0866"/>
    <w:rsid w:val="00F50A11"/>
    <w:rsid w:val="00FC77EA"/>
    <w:rsid w:val="00FE4812"/>
    <w:rsid w:val="00FE78E7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199EEA4-09BB-4880-BE81-265494D9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1FB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701FB"/>
    <w:rPr>
      <w:rFonts w:ascii="Symbol" w:hAnsi="Symbol" w:cs="Symbol"/>
    </w:rPr>
  </w:style>
  <w:style w:type="character" w:customStyle="1" w:styleId="WW8Num1z1">
    <w:name w:val="WW8Num1z1"/>
    <w:rsid w:val="005701FB"/>
    <w:rPr>
      <w:rFonts w:ascii="Courier New" w:hAnsi="Courier New" w:cs="Helvetica"/>
    </w:rPr>
  </w:style>
  <w:style w:type="character" w:customStyle="1" w:styleId="WW8Num1z2">
    <w:name w:val="WW8Num1z2"/>
    <w:rsid w:val="005701FB"/>
    <w:rPr>
      <w:rFonts w:ascii="Wingdings" w:hAnsi="Wingdings" w:cs="Wingdings"/>
    </w:rPr>
  </w:style>
  <w:style w:type="character" w:customStyle="1" w:styleId="Carpredefinitoparagrafo1">
    <w:name w:val="Car. predefinito paragrafo1"/>
    <w:rsid w:val="005701FB"/>
  </w:style>
  <w:style w:type="character" w:styleId="Collegamentoipertestuale">
    <w:name w:val="Hyperlink"/>
    <w:basedOn w:val="Carpredefinitoparagrafo1"/>
    <w:rsid w:val="005701FB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5701FB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testo">
    <w:name w:val="Body Text"/>
    <w:basedOn w:val="Normale"/>
    <w:rsid w:val="005701FB"/>
    <w:pPr>
      <w:spacing w:after="120"/>
    </w:pPr>
  </w:style>
  <w:style w:type="paragraph" w:styleId="Elenco">
    <w:name w:val="List"/>
    <w:basedOn w:val="Corpotesto"/>
    <w:rsid w:val="005701FB"/>
    <w:rPr>
      <w:rFonts w:cs="Lohit Hindi"/>
    </w:rPr>
  </w:style>
  <w:style w:type="paragraph" w:styleId="Didascalia">
    <w:name w:val="caption"/>
    <w:basedOn w:val="Normale"/>
    <w:qFormat/>
    <w:rsid w:val="005701FB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5701FB"/>
    <w:pPr>
      <w:suppressLineNumbers/>
    </w:pPr>
    <w:rPr>
      <w:rFonts w:cs="Lohit Hindi"/>
    </w:rPr>
  </w:style>
  <w:style w:type="paragraph" w:customStyle="1" w:styleId="Mappadocumento1">
    <w:name w:val="Mappa documento1"/>
    <w:basedOn w:val="Normale"/>
    <w:rsid w:val="005701FB"/>
    <w:pPr>
      <w:shd w:val="clear" w:color="auto" w:fill="000080"/>
    </w:pPr>
    <w:rPr>
      <w:rFonts w:ascii="Helvetica" w:eastAsia="MS Gothic" w:hAnsi="Helvetica" w:cs="Helvetica"/>
    </w:rPr>
  </w:style>
  <w:style w:type="paragraph" w:styleId="NormaleWeb">
    <w:name w:val="Normal (Web)"/>
    <w:basedOn w:val="Normale"/>
    <w:rsid w:val="005701FB"/>
    <w:pPr>
      <w:spacing w:before="280" w:after="280" w:line="336" w:lineRule="atLeast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CDD"/>
    <w:rPr>
      <w:rFonts w:ascii="Tahoma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3B3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Dpt Scienze della Formazione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Utente</cp:lastModifiedBy>
  <cp:revision>2</cp:revision>
  <cp:lastPrinted>1900-12-31T23:00:00Z</cp:lastPrinted>
  <dcterms:created xsi:type="dcterms:W3CDTF">2016-03-18T08:20:00Z</dcterms:created>
  <dcterms:modified xsi:type="dcterms:W3CDTF">2016-03-18T08:20:00Z</dcterms:modified>
</cp:coreProperties>
</file>